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825DA">
      <w:pPr>
        <w:spacing w:line="560" w:lineRule="exact"/>
        <w:rPr>
          <w:rFonts w:eastAsia="黑体"/>
          <w:color w:val="auto"/>
          <w:sz w:val="28"/>
          <w:szCs w:val="28"/>
        </w:rPr>
      </w:pPr>
    </w:p>
    <w:p w14:paraId="4F81034C">
      <w:pPr>
        <w:spacing w:line="560" w:lineRule="exact"/>
        <w:rPr>
          <w:rFonts w:eastAsia="黑体"/>
          <w:color w:val="auto"/>
          <w:sz w:val="28"/>
          <w:szCs w:val="28"/>
        </w:rPr>
      </w:pPr>
    </w:p>
    <w:p w14:paraId="2368520E">
      <w:pPr>
        <w:spacing w:line="560" w:lineRule="exact"/>
        <w:rPr>
          <w:rFonts w:eastAsia="黑体"/>
          <w:color w:val="auto"/>
          <w:sz w:val="28"/>
          <w:szCs w:val="28"/>
        </w:rPr>
      </w:pPr>
    </w:p>
    <w:p w14:paraId="74209596">
      <w:pPr>
        <w:spacing w:line="560" w:lineRule="exact"/>
        <w:rPr>
          <w:rFonts w:eastAsia="黑体"/>
          <w:color w:val="auto"/>
          <w:sz w:val="28"/>
          <w:szCs w:val="28"/>
        </w:rPr>
      </w:pPr>
    </w:p>
    <w:p w14:paraId="211785AB">
      <w:pPr>
        <w:jc w:val="center"/>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rPr>
        <w:t>国家计量检定规程</w:t>
      </w:r>
    </w:p>
    <w:p w14:paraId="1E6FB36F">
      <w:pPr>
        <w:jc w:val="center"/>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rPr>
        <w:t>《</w:t>
      </w:r>
      <w:r>
        <w:rPr>
          <w:rFonts w:hint="eastAsia" w:ascii="黑体" w:hAnsi="黑体" w:eastAsia="黑体" w:cs="黑体"/>
          <w:b w:val="0"/>
          <w:bCs w:val="0"/>
          <w:color w:val="auto"/>
          <w:sz w:val="44"/>
          <w:szCs w:val="44"/>
          <w:lang w:val="en-US" w:eastAsia="zh-CN"/>
        </w:rPr>
        <w:t>电磁流量计</w:t>
      </w:r>
      <w:r>
        <w:rPr>
          <w:rFonts w:hint="eastAsia" w:ascii="黑体" w:hAnsi="黑体" w:eastAsia="黑体" w:cs="黑体"/>
          <w:b w:val="0"/>
          <w:bCs w:val="0"/>
          <w:color w:val="auto"/>
          <w:sz w:val="44"/>
          <w:szCs w:val="44"/>
        </w:rPr>
        <w:t>》</w:t>
      </w:r>
    </w:p>
    <w:p w14:paraId="262CA038">
      <w:pPr>
        <w:jc w:val="center"/>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（征求意见稿）</w:t>
      </w:r>
    </w:p>
    <w:p w14:paraId="3E4379A6">
      <w:pPr>
        <w:pStyle w:val="37"/>
        <w:tabs>
          <w:tab w:val="left" w:pos="420"/>
          <w:tab w:val="right" w:pos="8280"/>
        </w:tabs>
        <w:spacing w:before="702" w:beforeLines="150"/>
        <w:ind w:firstLine="0" w:firstLineChars="0"/>
        <w:jc w:val="center"/>
        <w:rPr>
          <w:rFonts w:eastAsia="隶书" w:cs="Times New Roman"/>
          <w:color w:val="auto"/>
          <w:sz w:val="44"/>
          <w:szCs w:val="44"/>
        </w:rPr>
      </w:pPr>
      <w:r>
        <w:rPr>
          <w:rFonts w:hint="eastAsia" w:eastAsia="隶书" w:cs="Times New Roman"/>
          <w:color w:val="auto"/>
          <w:sz w:val="44"/>
          <w:szCs w:val="44"/>
        </w:rPr>
        <w:t>修订编写说明</w:t>
      </w:r>
    </w:p>
    <w:p w14:paraId="3D9EA45B">
      <w:pPr>
        <w:spacing w:line="560" w:lineRule="exact"/>
        <w:jc w:val="center"/>
        <w:rPr>
          <w:rFonts w:ascii="黑体" w:eastAsia="黑体"/>
          <w:color w:val="auto"/>
          <w:sz w:val="28"/>
          <w:szCs w:val="28"/>
        </w:rPr>
      </w:pPr>
    </w:p>
    <w:p w14:paraId="0A1402BD">
      <w:pPr>
        <w:spacing w:line="560" w:lineRule="exact"/>
        <w:rPr>
          <w:rFonts w:eastAsia="黑体"/>
          <w:color w:val="auto"/>
          <w:sz w:val="28"/>
          <w:szCs w:val="28"/>
        </w:rPr>
      </w:pPr>
    </w:p>
    <w:p w14:paraId="3CB9D1AB">
      <w:pPr>
        <w:spacing w:line="560" w:lineRule="exact"/>
        <w:ind w:left="1399" w:hanging="280"/>
        <w:rPr>
          <w:rFonts w:ascii="黑体" w:eastAsia="黑体"/>
          <w:color w:val="auto"/>
          <w:sz w:val="28"/>
          <w:szCs w:val="28"/>
        </w:rPr>
      </w:pPr>
    </w:p>
    <w:p w14:paraId="3FAD7220">
      <w:pPr>
        <w:spacing w:line="560" w:lineRule="exact"/>
        <w:ind w:left="1399" w:hanging="280"/>
        <w:rPr>
          <w:rFonts w:ascii="黑体" w:eastAsia="黑体"/>
          <w:color w:val="auto"/>
          <w:sz w:val="28"/>
          <w:szCs w:val="28"/>
        </w:rPr>
      </w:pPr>
    </w:p>
    <w:p w14:paraId="7C0009C4">
      <w:pPr>
        <w:spacing w:line="560" w:lineRule="exact"/>
        <w:ind w:left="1399" w:hanging="280"/>
        <w:rPr>
          <w:rFonts w:ascii="黑体" w:eastAsia="黑体"/>
          <w:color w:val="auto"/>
          <w:sz w:val="28"/>
          <w:szCs w:val="28"/>
        </w:rPr>
      </w:pPr>
    </w:p>
    <w:p w14:paraId="2883A3BC">
      <w:pPr>
        <w:spacing w:line="560" w:lineRule="exact"/>
        <w:ind w:left="1399" w:hanging="280"/>
        <w:rPr>
          <w:rFonts w:ascii="黑体" w:eastAsia="黑体"/>
          <w:color w:val="auto"/>
          <w:sz w:val="28"/>
          <w:szCs w:val="28"/>
        </w:rPr>
      </w:pPr>
    </w:p>
    <w:p w14:paraId="5D2D1CC4">
      <w:pPr>
        <w:spacing w:line="560" w:lineRule="exact"/>
        <w:ind w:left="1399" w:hanging="280"/>
        <w:rPr>
          <w:rFonts w:ascii="黑体" w:eastAsia="黑体"/>
          <w:color w:val="auto"/>
          <w:sz w:val="28"/>
          <w:szCs w:val="28"/>
        </w:rPr>
      </w:pPr>
    </w:p>
    <w:p w14:paraId="26B57142">
      <w:pPr>
        <w:spacing w:line="560" w:lineRule="exact"/>
        <w:ind w:left="1399" w:hanging="280"/>
        <w:rPr>
          <w:rFonts w:ascii="黑体" w:eastAsia="黑体"/>
          <w:color w:val="auto"/>
          <w:sz w:val="28"/>
          <w:szCs w:val="28"/>
        </w:rPr>
      </w:pPr>
    </w:p>
    <w:p w14:paraId="19C6B397">
      <w:pPr>
        <w:spacing w:line="560" w:lineRule="exact"/>
        <w:ind w:left="1399" w:hanging="280"/>
        <w:rPr>
          <w:rFonts w:ascii="黑体" w:eastAsia="黑体"/>
          <w:color w:val="auto"/>
          <w:sz w:val="28"/>
          <w:szCs w:val="28"/>
        </w:rPr>
      </w:pPr>
    </w:p>
    <w:p w14:paraId="76E46DB0">
      <w:pPr>
        <w:spacing w:line="560" w:lineRule="exact"/>
        <w:rPr>
          <w:rFonts w:ascii="黑体" w:eastAsia="黑体"/>
          <w:color w:val="auto"/>
          <w:sz w:val="28"/>
          <w:szCs w:val="28"/>
        </w:rPr>
      </w:pPr>
    </w:p>
    <w:p w14:paraId="3450DDDE">
      <w:pPr>
        <w:spacing w:line="560" w:lineRule="exact"/>
        <w:ind w:firstLine="4000" w:firstLineChars="1250"/>
        <w:rPr>
          <w:rFonts w:eastAsia="黑体"/>
          <w:color w:val="auto"/>
          <w:sz w:val="32"/>
          <w:szCs w:val="32"/>
        </w:rPr>
      </w:pPr>
    </w:p>
    <w:p w14:paraId="1D5C5AE7">
      <w:pPr>
        <w:spacing w:line="560" w:lineRule="exact"/>
        <w:ind w:firstLine="4000" w:firstLineChars="1250"/>
        <w:rPr>
          <w:rFonts w:eastAsia="黑体"/>
          <w:color w:val="auto"/>
          <w:sz w:val="32"/>
          <w:szCs w:val="32"/>
        </w:rPr>
      </w:pPr>
    </w:p>
    <w:p w14:paraId="7B180DCE">
      <w:pPr>
        <w:spacing w:line="560" w:lineRule="exact"/>
        <w:jc w:val="center"/>
        <w:rPr>
          <w:rFonts w:eastAsia="黑体"/>
          <w:b/>
          <w:color w:val="auto"/>
          <w:sz w:val="28"/>
          <w:szCs w:val="28"/>
        </w:rPr>
      </w:pPr>
      <w:r>
        <w:rPr>
          <w:rFonts w:hint="eastAsia" w:ascii="宋体" w:hAnsi="宋体"/>
          <w:b/>
          <w:color w:val="auto"/>
          <w:sz w:val="28"/>
          <w:szCs w:val="28"/>
        </w:rPr>
        <w:t>规程起草组</w:t>
      </w:r>
    </w:p>
    <w:p w14:paraId="64D69963">
      <w:pPr>
        <w:spacing w:line="560" w:lineRule="exact"/>
        <w:jc w:val="center"/>
        <w:rPr>
          <w:rFonts w:hint="eastAsia" w:ascii="宋体" w:hAnsi="宋体"/>
          <w:b/>
          <w:color w:val="auto"/>
          <w:sz w:val="28"/>
          <w:szCs w:val="28"/>
        </w:rPr>
      </w:pPr>
      <w:r>
        <w:rPr>
          <w:rFonts w:ascii="宋体" w:hAnsi="宋体"/>
          <w:b/>
          <w:color w:val="auto"/>
          <w:sz w:val="28"/>
          <w:szCs w:val="28"/>
        </w:rPr>
        <w:t>202</w:t>
      </w:r>
      <w:r>
        <w:rPr>
          <w:rFonts w:hint="eastAsia" w:ascii="宋体" w:hAnsi="宋体"/>
          <w:b/>
          <w:color w:val="auto"/>
          <w:sz w:val="28"/>
          <w:szCs w:val="28"/>
          <w:lang w:val="en-US" w:eastAsia="zh-CN"/>
        </w:rPr>
        <w:t>6</w:t>
      </w:r>
      <w:r>
        <w:rPr>
          <w:rFonts w:ascii="宋体" w:hAnsi="宋体"/>
          <w:b/>
          <w:color w:val="auto"/>
          <w:sz w:val="28"/>
          <w:szCs w:val="28"/>
        </w:rPr>
        <w:t>年</w:t>
      </w:r>
      <w:r>
        <w:rPr>
          <w:rFonts w:hint="eastAsia" w:ascii="宋体" w:hAnsi="宋体"/>
          <w:b/>
          <w:color w:val="auto"/>
          <w:sz w:val="28"/>
          <w:szCs w:val="28"/>
          <w:lang w:val="en-US" w:eastAsia="zh-CN"/>
        </w:rPr>
        <w:t>7</w:t>
      </w:r>
      <w:r>
        <w:rPr>
          <w:rFonts w:ascii="宋体" w:hAnsi="宋体"/>
          <w:b/>
          <w:color w:val="auto"/>
          <w:sz w:val="28"/>
          <w:szCs w:val="28"/>
        </w:rPr>
        <w:t>月</w:t>
      </w:r>
    </w:p>
    <w:p w14:paraId="4DD014C3">
      <w:pPr>
        <w:spacing w:line="560" w:lineRule="exact"/>
        <w:rPr>
          <w:rFonts w:hint="eastAsia" w:ascii="宋体" w:hAnsi="宋体"/>
          <w:color w:val="auto"/>
          <w:sz w:val="28"/>
          <w:szCs w:val="28"/>
        </w:rPr>
        <w:sectPr>
          <w:footerReference r:id="rId6" w:type="first"/>
          <w:headerReference r:id="rId3" w:type="default"/>
          <w:footerReference r:id="rId4" w:type="default"/>
          <w:footerReference r:id="rId5" w:type="even"/>
          <w:pgSz w:w="11906" w:h="16838"/>
          <w:pgMar w:top="1134" w:right="1134" w:bottom="1077" w:left="1191" w:header="851" w:footer="992" w:gutter="0"/>
          <w:pgNumType w:start="1" w:chapStyle="1"/>
          <w:cols w:space="425" w:num="1"/>
          <w:titlePg/>
          <w:docGrid w:type="linesAndChars" w:linePitch="468" w:charSpace="0"/>
        </w:sectPr>
      </w:pPr>
    </w:p>
    <w:p w14:paraId="52FDA0A1">
      <w:pPr>
        <w:jc w:val="center"/>
        <w:rPr>
          <w:rFonts w:eastAsia="黑体"/>
          <w:color w:val="auto"/>
          <w:sz w:val="30"/>
          <w:szCs w:val="30"/>
        </w:rPr>
      </w:pPr>
      <w:r>
        <w:rPr>
          <w:rFonts w:eastAsia="黑体"/>
          <w:color w:val="auto"/>
          <w:sz w:val="30"/>
          <w:szCs w:val="30"/>
        </w:rPr>
        <w:t>《</w:t>
      </w:r>
      <w:r>
        <w:rPr>
          <w:rFonts w:hint="eastAsia" w:eastAsia="黑体"/>
          <w:color w:val="auto"/>
          <w:sz w:val="30"/>
          <w:szCs w:val="30"/>
          <w:lang w:eastAsia="zh-CN"/>
        </w:rPr>
        <w:t>电磁流量计</w:t>
      </w:r>
      <w:r>
        <w:rPr>
          <w:rFonts w:eastAsia="黑体"/>
          <w:color w:val="auto"/>
          <w:sz w:val="30"/>
          <w:szCs w:val="30"/>
        </w:rPr>
        <w:t>》</w:t>
      </w:r>
    </w:p>
    <w:p w14:paraId="67081155">
      <w:pPr>
        <w:jc w:val="center"/>
        <w:rPr>
          <w:rFonts w:eastAsia="黑体"/>
          <w:color w:val="auto"/>
          <w:sz w:val="32"/>
        </w:rPr>
      </w:pPr>
      <w:r>
        <w:rPr>
          <w:rFonts w:eastAsia="黑体"/>
          <w:color w:val="auto"/>
          <w:sz w:val="32"/>
        </w:rPr>
        <w:t>国家计量检定规程</w:t>
      </w:r>
      <w:r>
        <w:rPr>
          <w:rFonts w:hint="eastAsia" w:eastAsia="黑体"/>
          <w:color w:val="auto"/>
          <w:sz w:val="32"/>
        </w:rPr>
        <w:t>修</w:t>
      </w:r>
      <w:r>
        <w:rPr>
          <w:rFonts w:eastAsia="黑体"/>
          <w:color w:val="auto"/>
          <w:sz w:val="32"/>
        </w:rPr>
        <w:t>订编写说明</w:t>
      </w:r>
    </w:p>
    <w:p w14:paraId="3B8DE9B5">
      <w:pPr>
        <w:numPr>
          <w:ilvl w:val="0"/>
          <w:numId w:val="0"/>
        </w:numPr>
        <w:spacing w:line="276" w:lineRule="auto"/>
        <w:ind w:leftChars="0" w:firstLine="480" w:firstLineChars="200"/>
        <w:rPr>
          <w:b/>
          <w:color w:val="auto"/>
          <w:sz w:val="24"/>
        </w:rPr>
      </w:pPr>
      <w:r>
        <w:rPr>
          <w:rFonts w:hint="eastAsia"/>
          <w:b/>
          <w:color w:val="auto"/>
          <w:sz w:val="24"/>
          <w:lang w:val="en-US" w:eastAsia="zh-CN"/>
        </w:rPr>
        <w:t>一、</w:t>
      </w:r>
      <w:r>
        <w:rPr>
          <w:rFonts w:hint="eastAsia"/>
          <w:b/>
          <w:color w:val="auto"/>
          <w:sz w:val="24"/>
        </w:rPr>
        <w:t>任务来源</w:t>
      </w:r>
    </w:p>
    <w:p w14:paraId="4E4B99F2">
      <w:pPr>
        <w:ind w:firstLine="480" w:firstLineChars="200"/>
        <w:rPr>
          <w:rFonts w:hint="eastAsia" w:ascii="宋体" w:hAnsi="宋体"/>
          <w:color w:val="auto"/>
          <w:sz w:val="24"/>
        </w:rPr>
      </w:pPr>
      <w:bookmarkStart w:id="0" w:name="_Hlk149420113"/>
      <w:r>
        <w:rPr>
          <w:color w:val="auto"/>
          <w:sz w:val="24"/>
        </w:rPr>
        <w:t>根据国家市场监督管理总局</w:t>
      </w:r>
      <w:r>
        <w:rPr>
          <w:rFonts w:hint="eastAsia"/>
          <w:strike w:val="0"/>
          <w:dstrike w:val="0"/>
          <w:color w:val="auto"/>
          <w:sz w:val="24"/>
          <w:lang w:eastAsia="zh-CN"/>
        </w:rPr>
        <w:t>办公厅市监计量发(2025)45号“2025年国家计量技术规范项目制定、修订及宣贯计划的通知”，</w:t>
      </w:r>
      <w:r>
        <w:rPr>
          <w:color w:val="auto"/>
          <w:sz w:val="24"/>
        </w:rPr>
        <w:t>由</w:t>
      </w:r>
      <w:r>
        <w:rPr>
          <w:rFonts w:hint="eastAsia"/>
          <w:color w:val="auto"/>
          <w:sz w:val="24"/>
        </w:rPr>
        <w:t>全国流量计量技术委员会液体流量分技术委员会</w:t>
      </w:r>
      <w:r>
        <w:rPr>
          <w:color w:val="auto"/>
          <w:sz w:val="24"/>
        </w:rPr>
        <w:t>（MTC3</w:t>
      </w:r>
      <w:r>
        <w:rPr>
          <w:rFonts w:hint="eastAsia"/>
          <w:color w:val="auto"/>
          <w:sz w:val="24"/>
          <w:lang w:val="en-US" w:eastAsia="zh-CN"/>
        </w:rPr>
        <w:t>/SC1</w:t>
      </w:r>
      <w:r>
        <w:rPr>
          <w:color w:val="auto"/>
          <w:sz w:val="24"/>
        </w:rPr>
        <w:t>）</w:t>
      </w:r>
      <w:r>
        <w:rPr>
          <w:color w:val="auto"/>
          <w:sz w:val="24"/>
        </w:rPr>
        <w:t>组织</w:t>
      </w:r>
      <w:r>
        <w:rPr>
          <w:rFonts w:hint="eastAsia"/>
          <w:color w:val="auto"/>
          <w:sz w:val="24"/>
          <w:lang w:val="en-US" w:eastAsia="zh-CN"/>
        </w:rPr>
        <w:t>制</w:t>
      </w:r>
      <w:r>
        <w:rPr>
          <w:color w:val="auto"/>
          <w:sz w:val="24"/>
        </w:rPr>
        <w:t>订《</w:t>
      </w:r>
      <w:r>
        <w:rPr>
          <w:rFonts w:hint="eastAsia"/>
          <w:color w:val="auto"/>
          <w:sz w:val="24"/>
          <w:lang w:eastAsia="zh-CN"/>
        </w:rPr>
        <w:t>电磁流量计</w:t>
      </w:r>
      <w:r>
        <w:rPr>
          <w:color w:val="auto"/>
          <w:sz w:val="24"/>
        </w:rPr>
        <w:t>》国家计量检定规程，替代</w:t>
      </w:r>
      <w:r>
        <w:rPr>
          <w:rFonts w:hint="eastAsia"/>
          <w:color w:val="auto"/>
          <w:sz w:val="24"/>
        </w:rPr>
        <w:t>1033-2007《电磁流量计》</w:t>
      </w:r>
      <w:r>
        <w:rPr>
          <w:color w:val="auto"/>
          <w:sz w:val="24"/>
        </w:rPr>
        <w:t>中</w:t>
      </w:r>
      <w:r>
        <w:rPr>
          <w:rFonts w:hint="eastAsia"/>
          <w:color w:val="auto"/>
          <w:sz w:val="24"/>
          <w:lang w:eastAsia="zh-CN"/>
        </w:rPr>
        <w:t>电磁流量计</w:t>
      </w:r>
      <w:r>
        <w:rPr>
          <w:rFonts w:hint="eastAsia"/>
          <w:color w:val="auto"/>
          <w:sz w:val="24"/>
          <w:lang w:val="en-US" w:eastAsia="zh-CN"/>
        </w:rPr>
        <w:t>检定规程</w:t>
      </w:r>
      <w:r>
        <w:rPr>
          <w:rFonts w:hint="eastAsia"/>
          <w:color w:val="auto"/>
          <w:sz w:val="24"/>
        </w:rPr>
        <w:t>对应</w:t>
      </w:r>
      <w:r>
        <w:rPr>
          <w:color w:val="auto"/>
          <w:sz w:val="24"/>
        </w:rPr>
        <w:t>部分</w:t>
      </w:r>
      <w:r>
        <w:rPr>
          <w:rFonts w:hint="eastAsia"/>
          <w:color w:val="auto"/>
          <w:sz w:val="24"/>
        </w:rPr>
        <w:t>的</w:t>
      </w:r>
      <w:r>
        <w:rPr>
          <w:color w:val="auto"/>
          <w:sz w:val="24"/>
        </w:rPr>
        <w:t>内容。</w:t>
      </w:r>
      <w:bookmarkEnd w:id="0"/>
    </w:p>
    <w:p w14:paraId="455DC6E9">
      <w:pPr>
        <w:ind w:firstLine="480" w:firstLineChars="200"/>
        <w:rPr>
          <w:rFonts w:hint="eastAsia" w:ascii="宋体" w:hAnsi="宋体"/>
          <w:color w:val="auto"/>
          <w:sz w:val="24"/>
        </w:rPr>
      </w:pPr>
      <w:r>
        <w:rPr>
          <w:rFonts w:hint="eastAsia" w:ascii="宋体" w:hAnsi="宋体"/>
          <w:color w:val="auto"/>
          <w:sz w:val="24"/>
        </w:rPr>
        <w:t>规程修订起草组由中国计量科学研究院、</w:t>
      </w:r>
      <w:r>
        <w:rPr>
          <w:rFonts w:hint="eastAsia" w:ascii="宋体" w:hAnsi="宋体"/>
          <w:color w:val="auto"/>
          <w:sz w:val="24"/>
          <w:lang w:val="en-US" w:eastAsia="zh-CN"/>
        </w:rPr>
        <w:t>河北省计量监督检测研究院</w:t>
      </w:r>
      <w:r>
        <w:rPr>
          <w:rFonts w:hint="eastAsia" w:ascii="宋体" w:hAnsi="宋体"/>
          <w:color w:val="auto"/>
          <w:sz w:val="24"/>
        </w:rPr>
        <w:t>等单位组成。</w:t>
      </w:r>
      <w:r>
        <w:rPr>
          <w:color w:val="auto"/>
          <w:sz w:val="24"/>
        </w:rPr>
        <w:t>修订工作计划于202</w:t>
      </w:r>
      <w:r>
        <w:rPr>
          <w:rFonts w:hint="eastAsia"/>
          <w:color w:val="auto"/>
          <w:sz w:val="24"/>
          <w:lang w:val="en-US" w:eastAsia="zh-CN"/>
        </w:rPr>
        <w:t>5</w:t>
      </w:r>
      <w:r>
        <w:rPr>
          <w:color w:val="auto"/>
          <w:sz w:val="24"/>
        </w:rPr>
        <w:t>年年内完成。</w:t>
      </w:r>
    </w:p>
    <w:p w14:paraId="39A4A4FF">
      <w:pPr>
        <w:numPr>
          <w:ilvl w:val="0"/>
          <w:numId w:val="0"/>
        </w:numPr>
        <w:spacing w:line="276" w:lineRule="auto"/>
        <w:ind w:leftChars="0" w:firstLine="480" w:firstLineChars="200"/>
        <w:rPr>
          <w:b/>
          <w:color w:val="auto"/>
          <w:sz w:val="24"/>
        </w:rPr>
      </w:pPr>
      <w:r>
        <w:rPr>
          <w:rFonts w:hint="eastAsia"/>
          <w:b/>
          <w:color w:val="auto"/>
          <w:sz w:val="24"/>
          <w:lang w:val="en-US" w:eastAsia="zh-CN"/>
        </w:rPr>
        <w:t>二、</w:t>
      </w:r>
      <w:r>
        <w:rPr>
          <w:b/>
          <w:color w:val="auto"/>
          <w:sz w:val="24"/>
        </w:rPr>
        <w:t>立项</w:t>
      </w:r>
      <w:r>
        <w:rPr>
          <w:rFonts w:hint="eastAsia"/>
          <w:b/>
          <w:color w:val="auto"/>
          <w:sz w:val="24"/>
        </w:rPr>
        <w:t>修订的</w:t>
      </w:r>
      <w:r>
        <w:rPr>
          <w:b/>
          <w:color w:val="auto"/>
          <w:sz w:val="24"/>
        </w:rPr>
        <w:t>必要性</w:t>
      </w:r>
    </w:p>
    <w:p w14:paraId="4421FA91">
      <w:pPr>
        <w:ind w:firstLine="480" w:firstLineChars="200"/>
        <w:rPr>
          <w:rFonts w:hint="eastAsia" w:ascii="宋体" w:hAnsi="宋体" w:cs="Times New Roman"/>
          <w:color w:val="auto"/>
          <w:sz w:val="24"/>
          <w:lang w:val="en-US" w:eastAsia="zh-CN"/>
        </w:rPr>
      </w:pPr>
      <w:r>
        <w:rPr>
          <w:rFonts w:hint="eastAsia" w:ascii="宋体" w:hAnsi="宋体" w:cs="Times New Roman"/>
          <w:color w:val="auto"/>
          <w:sz w:val="24"/>
          <w:lang w:val="en-US" w:eastAsia="zh-CN"/>
        </w:rPr>
        <w:t>电磁流量计作为工业过程控制、贸易结算、环境监测等领域的重要计量器具，其计量准确性直接关系到我国各类液体介质交易的精准性，关系到国计民生、安全生产等多个方面，是社会经济平稳运行的重要基础。国家市场监督管理总局一直将以销售为目的的流量计列入《实施强制管理的计量器具目录》实施强制管理，需获得型式批准后方能生产；用于贸易结算、环境监测的，经法定计量检定机构检定合格后方能使用。</w:t>
      </w:r>
    </w:p>
    <w:p w14:paraId="44274A88">
      <w:pPr>
        <w:ind w:firstLine="480" w:firstLineChars="200"/>
        <w:rPr>
          <w:rFonts w:hint="eastAsia" w:ascii="宋体" w:hAnsi="宋体" w:cs="Times New Roman"/>
          <w:color w:val="auto"/>
          <w:sz w:val="24"/>
          <w:lang w:val="en-US" w:eastAsia="zh-CN"/>
        </w:rPr>
      </w:pPr>
      <w:r>
        <w:rPr>
          <w:rFonts w:hint="eastAsia" w:ascii="宋体" w:hAnsi="宋体" w:cs="Times New Roman"/>
          <w:color w:val="auto"/>
          <w:sz w:val="24"/>
          <w:lang w:val="en-US" w:eastAsia="zh-CN"/>
        </w:rPr>
        <w:t>JJG 1033-2007《电磁流量计》自2008年实施以来，对规范电磁流量计的检定工作、保证量值准确可靠发挥了重要作用。但随着我国电磁流量计制造技术的快速发展，以及流量计量检定技术的不断进步，原规程已不能完全适应新形势下的检定工作需要：</w:t>
      </w:r>
    </w:p>
    <w:p w14:paraId="616E6E1C">
      <w:pPr>
        <w:ind w:firstLine="480" w:firstLineChars="200"/>
        <w:rPr>
          <w:rFonts w:hint="eastAsia" w:ascii="宋体" w:hAnsi="宋体" w:cs="Times New Roman"/>
          <w:color w:val="auto"/>
          <w:sz w:val="24"/>
          <w:lang w:val="en-US" w:eastAsia="zh-CN"/>
        </w:rPr>
      </w:pPr>
      <w:r>
        <w:rPr>
          <w:rFonts w:hint="eastAsia" w:ascii="宋体" w:hAnsi="宋体" w:cs="Times New Roman"/>
          <w:color w:val="auto"/>
          <w:sz w:val="24"/>
          <w:lang w:val="en-US" w:eastAsia="zh-CN"/>
        </w:rPr>
        <w:t>一是国产电磁流量计在准确度、介质适用范围、使用寿命、稳定性等方面取得了长足的进步，原规程的准确度等级设置已不能完全覆盖市场需求；二是检定电磁流量计的液体流量标准装置及相关技术取得了较大发展，对于流量标准装置不确定度评定的认识水平、评定方法也有了显著提高；三是近年来国家发布了一系列新的计量技术规范和国家标准，如JJF 1002-2010《国家计量检定规程编写规则》、GB/T 18659-2023《封闭管道中流体流量的测量 电磁流量计使用指南》等，原规程需要与现行有效标准协调一致；四是随着大口径电磁流量计的广泛应用，原规程对大口径流量计的检定规定不够完善，需要补充相关内容。</w:t>
      </w:r>
    </w:p>
    <w:p w14:paraId="61535AFB">
      <w:pPr>
        <w:ind w:firstLine="480" w:firstLineChars="200"/>
        <w:rPr>
          <w:rFonts w:hint="eastAsia" w:ascii="Times New Roman" w:hAnsi="Times New Roman" w:cs="Times New Roman"/>
          <w:color w:val="auto"/>
          <w:sz w:val="24"/>
        </w:rPr>
      </w:pPr>
      <w:r>
        <w:rPr>
          <w:rFonts w:hint="eastAsia" w:ascii="宋体" w:hAnsi="宋体" w:cs="Times New Roman"/>
          <w:color w:val="auto"/>
          <w:sz w:val="24"/>
          <w:lang w:val="en-US" w:eastAsia="zh-CN"/>
        </w:rPr>
        <w:t>为了更好地满足国内电磁流量计旺盛的检测需求，保证电磁流量计使用的准确性，依据《国家计量技术规范管理办法》规定的"积极推动采用国际法制计量组织（OIML）发布的国际计量规范及有关国际组织发布的国际技术文件"的要求，有必要对电磁流量计检定规程进行修订完善。</w:t>
      </w:r>
    </w:p>
    <w:p w14:paraId="3C613399">
      <w:pPr>
        <w:numPr>
          <w:ilvl w:val="0"/>
          <w:numId w:val="0"/>
        </w:numPr>
        <w:spacing w:line="276" w:lineRule="auto"/>
        <w:ind w:leftChars="0" w:firstLine="480" w:firstLineChars="200"/>
        <w:rPr>
          <w:b/>
          <w:color w:val="auto"/>
          <w:sz w:val="24"/>
        </w:rPr>
      </w:pPr>
      <w:r>
        <w:rPr>
          <w:rFonts w:hint="eastAsia"/>
          <w:b/>
          <w:color w:val="auto"/>
          <w:sz w:val="24"/>
          <w:lang w:val="en-US" w:eastAsia="zh-CN"/>
        </w:rPr>
        <w:t>三、</w:t>
      </w:r>
      <w:r>
        <w:rPr>
          <w:rFonts w:hint="eastAsia"/>
          <w:b/>
          <w:color w:val="auto"/>
          <w:sz w:val="24"/>
        </w:rPr>
        <w:t>规程制订的主要技术依据和原则</w:t>
      </w:r>
    </w:p>
    <w:p w14:paraId="5D116AA1">
      <w:pPr>
        <w:tabs>
          <w:tab w:val="left" w:pos="720"/>
        </w:tabs>
        <w:ind w:firstLine="480" w:firstLineChars="200"/>
        <w:rPr>
          <w:rFonts w:hint="eastAsia"/>
          <w:color w:val="auto"/>
          <w:sz w:val="24"/>
          <w:lang w:val="en-US" w:eastAsia="zh-CN"/>
        </w:rPr>
      </w:pPr>
      <w:r>
        <w:rPr>
          <w:rFonts w:hint="eastAsia"/>
          <w:color w:val="auto"/>
          <w:sz w:val="24"/>
          <w:lang w:val="en-US" w:eastAsia="zh-CN"/>
        </w:rPr>
        <w:t>1.JJF 1002-2010 《国家计量检定规程编写规则》</w:t>
      </w:r>
    </w:p>
    <w:p w14:paraId="03379C2C">
      <w:pPr>
        <w:tabs>
          <w:tab w:val="left" w:pos="720"/>
        </w:tabs>
        <w:ind w:firstLine="480" w:firstLineChars="200"/>
        <w:rPr>
          <w:rFonts w:hint="eastAsia"/>
          <w:color w:val="auto"/>
          <w:sz w:val="24"/>
          <w:lang w:val="en-US" w:eastAsia="zh-CN"/>
        </w:rPr>
      </w:pPr>
      <w:r>
        <w:rPr>
          <w:rFonts w:hint="eastAsia"/>
          <w:color w:val="auto"/>
          <w:sz w:val="24"/>
          <w:lang w:val="en-US" w:eastAsia="zh-CN"/>
        </w:rPr>
        <w:t>2.JJF 1001-2011 《通用计量术语及定义》</w:t>
      </w:r>
    </w:p>
    <w:p w14:paraId="15D94FB9">
      <w:pPr>
        <w:tabs>
          <w:tab w:val="left" w:pos="720"/>
        </w:tabs>
        <w:ind w:firstLine="480" w:firstLineChars="200"/>
        <w:rPr>
          <w:rFonts w:hint="eastAsia"/>
          <w:color w:val="auto"/>
          <w:sz w:val="24"/>
          <w:lang w:val="en-US" w:eastAsia="zh-CN"/>
        </w:rPr>
      </w:pPr>
      <w:r>
        <w:rPr>
          <w:rFonts w:hint="eastAsia"/>
          <w:color w:val="auto"/>
          <w:sz w:val="24"/>
          <w:lang w:val="en-US" w:eastAsia="zh-CN"/>
        </w:rPr>
        <w:t>3.JJF 1004-2004 《流量计量名词术语及定义》</w:t>
      </w:r>
    </w:p>
    <w:p w14:paraId="4B2556A5">
      <w:pPr>
        <w:tabs>
          <w:tab w:val="left" w:pos="720"/>
        </w:tabs>
        <w:ind w:firstLine="480" w:firstLineChars="200"/>
        <w:rPr>
          <w:rFonts w:hint="eastAsia"/>
          <w:color w:val="auto"/>
          <w:sz w:val="24"/>
          <w:lang w:val="en-US" w:eastAsia="zh-CN"/>
        </w:rPr>
      </w:pPr>
      <w:r>
        <w:rPr>
          <w:rFonts w:hint="eastAsia"/>
          <w:color w:val="auto"/>
          <w:sz w:val="24"/>
          <w:lang w:val="en-US" w:eastAsia="zh-CN"/>
        </w:rPr>
        <w:t>4.JJF 1059.1 《测量不确定度评定与表示》</w:t>
      </w:r>
    </w:p>
    <w:p w14:paraId="0DEB69A6">
      <w:pPr>
        <w:tabs>
          <w:tab w:val="left" w:pos="720"/>
        </w:tabs>
        <w:ind w:firstLine="480" w:firstLineChars="200"/>
        <w:rPr>
          <w:rFonts w:hint="eastAsia"/>
          <w:color w:val="auto"/>
          <w:sz w:val="24"/>
          <w:lang w:val="en-US" w:eastAsia="zh-CN"/>
        </w:rPr>
      </w:pPr>
      <w:r>
        <w:rPr>
          <w:rFonts w:hint="eastAsia"/>
          <w:color w:val="auto"/>
          <w:sz w:val="24"/>
          <w:lang w:val="en-US" w:eastAsia="zh-CN"/>
        </w:rPr>
        <w:t>5.GB/T 18659 《封闭管道中流体流量的测量 电磁流量计使用指南》</w:t>
      </w:r>
    </w:p>
    <w:p w14:paraId="41935821">
      <w:pPr>
        <w:tabs>
          <w:tab w:val="left" w:pos="720"/>
        </w:tabs>
        <w:ind w:firstLine="480" w:firstLineChars="200"/>
        <w:rPr>
          <w:rFonts w:hint="eastAsia"/>
          <w:color w:val="auto"/>
          <w:sz w:val="24"/>
          <w:lang w:val="en-US" w:eastAsia="zh-CN"/>
        </w:rPr>
      </w:pPr>
      <w:r>
        <w:rPr>
          <w:rFonts w:hint="eastAsia"/>
          <w:color w:val="auto"/>
          <w:sz w:val="24"/>
          <w:lang w:val="en-US" w:eastAsia="zh-CN"/>
        </w:rPr>
        <w:t>6.JB/T 9248 《电磁流量计》</w:t>
      </w:r>
    </w:p>
    <w:p w14:paraId="7E604709">
      <w:pPr>
        <w:tabs>
          <w:tab w:val="left" w:pos="720"/>
        </w:tabs>
        <w:ind w:firstLine="480" w:firstLineChars="200"/>
        <w:rPr>
          <w:rFonts w:hint="eastAsia"/>
          <w:color w:val="auto"/>
          <w:sz w:val="24"/>
        </w:rPr>
      </w:pPr>
      <w:r>
        <w:rPr>
          <w:rFonts w:hint="eastAsia"/>
          <w:color w:val="auto"/>
          <w:sz w:val="24"/>
          <w:lang w:val="en-US" w:eastAsia="zh-CN"/>
        </w:rPr>
        <w:t>JJG 643-2024 《标准表法流量标准装置》</w:t>
      </w:r>
    </w:p>
    <w:p w14:paraId="4368F85F">
      <w:pPr>
        <w:tabs>
          <w:tab w:val="left" w:pos="720"/>
        </w:tabs>
        <w:ind w:firstLine="480" w:firstLineChars="200"/>
        <w:rPr>
          <w:rFonts w:hint="eastAsia"/>
          <w:color w:val="auto"/>
          <w:sz w:val="24"/>
        </w:rPr>
      </w:pPr>
      <w:r>
        <w:rPr>
          <w:rFonts w:hint="eastAsia"/>
          <w:color w:val="auto"/>
          <w:sz w:val="24"/>
        </w:rPr>
        <w:t>本规范在编制过程中起草小组遵循先进性、科学性、合理性和可操作性。</w:t>
      </w:r>
    </w:p>
    <w:p w14:paraId="3321EBCA">
      <w:pPr>
        <w:numPr>
          <w:ilvl w:val="0"/>
          <w:numId w:val="0"/>
        </w:numPr>
        <w:spacing w:line="276" w:lineRule="auto"/>
        <w:ind w:leftChars="0" w:firstLine="480" w:firstLineChars="200"/>
        <w:rPr>
          <w:b/>
          <w:color w:val="auto"/>
          <w:sz w:val="24"/>
        </w:rPr>
      </w:pPr>
      <w:r>
        <w:rPr>
          <w:rFonts w:hint="eastAsia"/>
          <w:b/>
          <w:color w:val="auto"/>
          <w:sz w:val="24"/>
          <w:lang w:val="en-US" w:eastAsia="zh-CN"/>
        </w:rPr>
        <w:t>四、</w:t>
      </w:r>
      <w:r>
        <w:rPr>
          <w:rFonts w:hint="eastAsia"/>
          <w:b/>
          <w:color w:val="auto"/>
          <w:sz w:val="24"/>
        </w:rPr>
        <w:t>编制过程和计划</w:t>
      </w:r>
    </w:p>
    <w:p w14:paraId="375F8664">
      <w:pPr>
        <w:ind w:firstLine="480" w:firstLineChars="200"/>
        <w:rPr>
          <w:rFonts w:hint="eastAsia" w:ascii="黑体" w:hAnsi="黑体" w:eastAsia="黑体"/>
          <w:color w:val="auto"/>
          <w:sz w:val="24"/>
        </w:rPr>
      </w:pPr>
      <w:r>
        <w:rPr>
          <w:rFonts w:hint="eastAsia" w:ascii="黑体" w:hAnsi="黑体" w:eastAsia="黑体"/>
          <w:color w:val="auto"/>
          <w:sz w:val="24"/>
        </w:rPr>
        <w:t>第一阶段：起草工作和试验验证阶段</w:t>
      </w:r>
      <w:r>
        <w:rPr>
          <w:rFonts w:ascii="黑体" w:hAnsi="黑体" w:eastAsia="黑体"/>
          <w:color w:val="auto"/>
          <w:sz w:val="24"/>
        </w:rPr>
        <w:t xml:space="preserve"> </w:t>
      </w:r>
    </w:p>
    <w:p w14:paraId="42BE7F58">
      <w:pPr>
        <w:numPr>
          <w:ilvl w:val="0"/>
          <w:numId w:val="0"/>
        </w:numPr>
        <w:ind w:firstLine="480" w:firstLineChars="200"/>
        <w:rPr>
          <w:rFonts w:hint="default"/>
          <w:color w:val="auto"/>
          <w:sz w:val="24"/>
          <w:lang w:val="en-US" w:eastAsia="zh-CN"/>
        </w:rPr>
      </w:pPr>
      <w:r>
        <w:rPr>
          <w:rFonts w:hint="eastAsia"/>
          <w:color w:val="auto"/>
          <w:sz w:val="24"/>
          <w:lang w:val="en-US" w:eastAsia="zh-CN"/>
        </w:rPr>
        <w:t>1</w:t>
      </w:r>
      <w:r>
        <w:rPr>
          <w:rFonts w:hint="eastAsia"/>
          <w:color w:val="auto"/>
          <w:sz w:val="24"/>
          <w:lang w:val="en-US" w:eastAsia="zh-CN"/>
        </w:rPr>
        <w:t>.2024年12月起草组完成了项目申报材料及规程草稿；</w:t>
      </w:r>
    </w:p>
    <w:p w14:paraId="1D42FE6E">
      <w:pPr>
        <w:numPr>
          <w:ilvl w:val="0"/>
          <w:numId w:val="0"/>
        </w:numPr>
        <w:ind w:firstLine="480" w:firstLineChars="200"/>
        <w:rPr>
          <w:color w:val="auto"/>
          <w:sz w:val="24"/>
        </w:rPr>
      </w:pPr>
      <w:r>
        <w:rPr>
          <w:rFonts w:hint="eastAsia"/>
          <w:color w:val="auto"/>
          <w:sz w:val="24"/>
          <w:lang w:val="en-US" w:eastAsia="zh-CN"/>
        </w:rPr>
        <w:t>2.为加快规程的修订进度，</w:t>
      </w:r>
      <w:r>
        <w:rPr>
          <w:rFonts w:hint="eastAsia"/>
          <w:color w:val="auto"/>
          <w:sz w:val="24"/>
        </w:rPr>
        <w:t>本规程承担起草单位中国计量科学研究院</w:t>
      </w:r>
      <w:r>
        <w:rPr>
          <w:color w:val="auto"/>
          <w:sz w:val="24"/>
        </w:rPr>
        <w:t>成立了规程起草</w:t>
      </w:r>
      <w:r>
        <w:rPr>
          <w:rFonts w:hint="eastAsia"/>
          <w:color w:val="auto"/>
          <w:sz w:val="24"/>
          <w:lang w:val="en-US" w:eastAsia="zh-CN"/>
        </w:rPr>
        <w:t>预备组。</w:t>
      </w:r>
      <w:r>
        <w:rPr>
          <w:rFonts w:hint="eastAsia"/>
          <w:color w:val="auto"/>
          <w:sz w:val="24"/>
        </w:rPr>
        <w:t>2</w:t>
      </w:r>
      <w:r>
        <w:rPr>
          <w:color w:val="auto"/>
          <w:sz w:val="24"/>
        </w:rPr>
        <w:t>02</w:t>
      </w:r>
      <w:r>
        <w:rPr>
          <w:rFonts w:hint="eastAsia"/>
          <w:color w:val="auto"/>
          <w:sz w:val="24"/>
          <w:lang w:val="en-US" w:eastAsia="zh-CN"/>
        </w:rPr>
        <w:t>5</w:t>
      </w:r>
      <w:r>
        <w:rPr>
          <w:color w:val="auto"/>
          <w:sz w:val="24"/>
        </w:rPr>
        <w:t>年</w:t>
      </w:r>
      <w:r>
        <w:rPr>
          <w:rFonts w:hint="eastAsia"/>
          <w:color w:val="auto"/>
          <w:sz w:val="24"/>
          <w:lang w:val="en-US" w:eastAsia="zh-CN"/>
        </w:rPr>
        <w:t>1</w:t>
      </w:r>
      <w:r>
        <w:rPr>
          <w:color w:val="auto"/>
          <w:sz w:val="24"/>
        </w:rPr>
        <w:t>月</w:t>
      </w:r>
      <w:r>
        <w:rPr>
          <w:rFonts w:hint="eastAsia"/>
          <w:color w:val="auto"/>
          <w:sz w:val="24"/>
          <w:lang w:val="en-US" w:eastAsia="zh-CN"/>
        </w:rPr>
        <w:t>23</w:t>
      </w:r>
      <w:r>
        <w:rPr>
          <w:color w:val="auto"/>
          <w:sz w:val="24"/>
        </w:rPr>
        <w:t>日</w:t>
      </w:r>
      <w:r>
        <w:rPr>
          <w:rFonts w:hint="eastAsia"/>
          <w:color w:val="auto"/>
          <w:sz w:val="24"/>
        </w:rPr>
        <w:t>召开了首次线</w:t>
      </w:r>
      <w:r>
        <w:rPr>
          <w:rFonts w:hint="eastAsia"/>
          <w:color w:val="auto"/>
          <w:sz w:val="24"/>
          <w:lang w:val="en-US" w:eastAsia="zh-CN"/>
        </w:rPr>
        <w:t>上</w:t>
      </w:r>
      <w:r>
        <w:rPr>
          <w:rFonts w:hint="eastAsia"/>
          <w:color w:val="auto"/>
          <w:sz w:val="24"/>
        </w:rPr>
        <w:t>会议，初步讨论了规范修订的思路及主体框架</w:t>
      </w:r>
      <w:r>
        <w:rPr>
          <w:rFonts w:hint="eastAsia" w:ascii="Calibri"/>
          <w:color w:val="auto"/>
          <w:sz w:val="24"/>
        </w:rPr>
        <w:t>；</w:t>
      </w:r>
      <w:r>
        <w:rPr>
          <w:rFonts w:hint="eastAsia"/>
          <w:color w:val="auto"/>
          <w:sz w:val="24"/>
          <w:lang w:val="en-US" w:eastAsia="zh-CN"/>
        </w:rPr>
        <w:t>对新规程的适用范围、流量计准确度等级、重复性指标、检定流量范围等修订要点进行了讨论</w:t>
      </w:r>
      <w:r>
        <w:rPr>
          <w:rFonts w:hint="eastAsia"/>
          <w:color w:val="auto"/>
          <w:sz w:val="24"/>
        </w:rPr>
        <w:t>；</w:t>
      </w:r>
    </w:p>
    <w:p w14:paraId="4F2EFD74">
      <w:pPr>
        <w:numPr>
          <w:ilvl w:val="0"/>
          <w:numId w:val="0"/>
        </w:numPr>
        <w:ind w:firstLine="480" w:firstLineChars="200"/>
        <w:rPr>
          <w:color w:val="auto"/>
          <w:sz w:val="24"/>
        </w:rPr>
      </w:pPr>
      <w:r>
        <w:rPr>
          <w:rFonts w:hint="eastAsia"/>
          <w:color w:val="auto"/>
          <w:sz w:val="24"/>
          <w:lang w:val="en-US" w:eastAsia="zh-CN"/>
        </w:rPr>
        <w:t>3.</w:t>
      </w:r>
      <w:r>
        <w:rPr>
          <w:rFonts w:hint="eastAsia"/>
          <w:color w:val="auto"/>
          <w:sz w:val="24"/>
        </w:rPr>
        <w:t>2</w:t>
      </w:r>
      <w:r>
        <w:rPr>
          <w:color w:val="auto"/>
          <w:sz w:val="24"/>
        </w:rPr>
        <w:t>02</w:t>
      </w:r>
      <w:r>
        <w:rPr>
          <w:rFonts w:hint="eastAsia"/>
          <w:color w:val="auto"/>
          <w:sz w:val="24"/>
          <w:lang w:val="en-US" w:eastAsia="zh-CN"/>
        </w:rPr>
        <w:t>5</w:t>
      </w:r>
      <w:r>
        <w:rPr>
          <w:color w:val="auto"/>
          <w:sz w:val="24"/>
        </w:rPr>
        <w:t>年</w:t>
      </w:r>
      <w:r>
        <w:rPr>
          <w:rFonts w:hint="eastAsia"/>
          <w:color w:val="auto"/>
          <w:sz w:val="24"/>
          <w:lang w:val="en-US" w:eastAsia="zh-CN"/>
        </w:rPr>
        <w:t>4</w:t>
      </w:r>
      <w:r>
        <w:rPr>
          <w:color w:val="auto"/>
          <w:sz w:val="24"/>
        </w:rPr>
        <w:t>月</w:t>
      </w:r>
      <w:r>
        <w:rPr>
          <w:rFonts w:hint="eastAsia"/>
          <w:color w:val="auto"/>
          <w:sz w:val="24"/>
        </w:rPr>
        <w:t>1</w:t>
      </w:r>
      <w:r>
        <w:rPr>
          <w:rFonts w:hint="eastAsia"/>
          <w:color w:val="auto"/>
          <w:sz w:val="24"/>
          <w:lang w:val="en-US" w:eastAsia="zh-CN"/>
        </w:rPr>
        <w:t>6</w:t>
      </w:r>
      <w:r>
        <w:rPr>
          <w:color w:val="auto"/>
          <w:sz w:val="24"/>
        </w:rPr>
        <w:t>日在</w:t>
      </w:r>
      <w:r>
        <w:rPr>
          <w:rFonts w:hint="eastAsia"/>
          <w:color w:val="auto"/>
          <w:sz w:val="24"/>
          <w:lang w:val="en-US" w:eastAsia="zh-CN"/>
        </w:rPr>
        <w:t>上饶市</w:t>
      </w:r>
      <w:r>
        <w:rPr>
          <w:color w:val="auto"/>
          <w:sz w:val="24"/>
        </w:rPr>
        <w:t>召开起草</w:t>
      </w:r>
      <w:r>
        <w:rPr>
          <w:rFonts w:hint="eastAsia"/>
          <w:color w:val="auto"/>
          <w:sz w:val="24"/>
          <w:lang w:val="en-US" w:eastAsia="zh-CN"/>
        </w:rPr>
        <w:t>预备</w:t>
      </w:r>
      <w:r>
        <w:rPr>
          <w:color w:val="auto"/>
          <w:sz w:val="24"/>
        </w:rPr>
        <w:t>组</w:t>
      </w:r>
      <w:r>
        <w:rPr>
          <w:rFonts w:hint="eastAsia"/>
          <w:color w:val="auto"/>
          <w:sz w:val="24"/>
        </w:rPr>
        <w:t>第</w:t>
      </w:r>
      <w:r>
        <w:rPr>
          <w:rFonts w:hint="eastAsia"/>
          <w:color w:val="auto"/>
          <w:sz w:val="24"/>
          <w:lang w:val="en-US" w:eastAsia="zh-CN"/>
        </w:rPr>
        <w:t>一</w:t>
      </w:r>
      <w:r>
        <w:rPr>
          <w:color w:val="auto"/>
          <w:sz w:val="24"/>
        </w:rPr>
        <w:t>次</w:t>
      </w:r>
      <w:r>
        <w:rPr>
          <w:rFonts w:hint="eastAsia"/>
          <w:color w:val="auto"/>
          <w:sz w:val="24"/>
        </w:rPr>
        <w:t>线下</w:t>
      </w:r>
      <w:r>
        <w:rPr>
          <w:color w:val="auto"/>
          <w:sz w:val="24"/>
        </w:rPr>
        <w:t>会议</w:t>
      </w:r>
      <w:r>
        <w:rPr>
          <w:rFonts w:hint="eastAsia"/>
          <w:color w:val="auto"/>
          <w:sz w:val="24"/>
          <w:lang w:eastAsia="zh-CN"/>
        </w:rPr>
        <w:t>，</w:t>
      </w:r>
      <w:r>
        <w:rPr>
          <w:rFonts w:hint="eastAsia"/>
          <w:color w:val="auto"/>
          <w:sz w:val="24"/>
        </w:rPr>
        <w:t>与会</w:t>
      </w:r>
      <w:r>
        <w:rPr>
          <w:color w:val="auto"/>
          <w:sz w:val="24"/>
        </w:rPr>
        <w:t>代表以计量技术机构和</w:t>
      </w:r>
      <w:r>
        <w:rPr>
          <w:rFonts w:hint="eastAsia"/>
          <w:color w:val="auto"/>
          <w:sz w:val="24"/>
          <w:lang w:val="en-US" w:eastAsia="zh-CN"/>
        </w:rPr>
        <w:t>仪表</w:t>
      </w:r>
      <w:r>
        <w:rPr>
          <w:color w:val="auto"/>
          <w:sz w:val="24"/>
        </w:rPr>
        <w:t>生产企业为主，就规程应包含的内容</w:t>
      </w:r>
      <w:r>
        <w:rPr>
          <w:rFonts w:hint="eastAsia"/>
          <w:color w:val="auto"/>
          <w:sz w:val="24"/>
          <w:lang w:eastAsia="zh-CN"/>
        </w:rPr>
        <w:t>、</w:t>
      </w:r>
      <w:r>
        <w:rPr>
          <w:rFonts w:hint="eastAsia"/>
          <w:color w:val="auto"/>
          <w:sz w:val="24"/>
          <w:lang w:val="en-US" w:eastAsia="zh-CN"/>
        </w:rPr>
        <w:t>关键技术指标、重要修订条款</w:t>
      </w:r>
      <w:r>
        <w:rPr>
          <w:color w:val="auto"/>
          <w:sz w:val="24"/>
        </w:rPr>
        <w:t>、</w:t>
      </w:r>
      <w:r>
        <w:rPr>
          <w:rFonts w:hint="eastAsia"/>
          <w:color w:val="auto"/>
          <w:sz w:val="24"/>
          <w:lang w:val="en-US" w:eastAsia="zh-CN"/>
        </w:rPr>
        <w:t>所需实验</w:t>
      </w:r>
      <w:r>
        <w:rPr>
          <w:color w:val="auto"/>
          <w:sz w:val="24"/>
        </w:rPr>
        <w:t>等问题进行了讨论，对下阶段工作进行了分工</w:t>
      </w:r>
      <w:r>
        <w:rPr>
          <w:rFonts w:hint="eastAsia"/>
          <w:color w:val="auto"/>
          <w:sz w:val="24"/>
        </w:rPr>
        <w:t>；</w:t>
      </w:r>
    </w:p>
    <w:p w14:paraId="1419B5F4">
      <w:pPr>
        <w:numPr>
          <w:ilvl w:val="0"/>
          <w:numId w:val="0"/>
        </w:numPr>
        <w:ind w:firstLine="480" w:firstLineChars="200"/>
        <w:rPr>
          <w:color w:val="auto"/>
          <w:sz w:val="24"/>
        </w:rPr>
      </w:pPr>
      <w:r>
        <w:rPr>
          <w:rFonts w:hint="eastAsia"/>
          <w:color w:val="auto"/>
          <w:sz w:val="24"/>
          <w:lang w:val="en-US" w:eastAsia="zh-CN"/>
        </w:rPr>
        <w:t>4.</w:t>
      </w:r>
      <w:r>
        <w:rPr>
          <w:rFonts w:hint="eastAsia"/>
          <w:color w:val="auto"/>
          <w:sz w:val="24"/>
        </w:rPr>
        <w:t>20</w:t>
      </w:r>
      <w:r>
        <w:rPr>
          <w:color w:val="auto"/>
          <w:sz w:val="24"/>
        </w:rPr>
        <w:t>2</w:t>
      </w:r>
      <w:r>
        <w:rPr>
          <w:rFonts w:hint="eastAsia"/>
          <w:color w:val="auto"/>
          <w:sz w:val="24"/>
          <w:lang w:val="en-US" w:eastAsia="zh-CN"/>
        </w:rPr>
        <w:t>5</w:t>
      </w:r>
      <w:r>
        <w:rPr>
          <w:rFonts w:hint="eastAsia"/>
          <w:color w:val="auto"/>
          <w:sz w:val="24"/>
        </w:rPr>
        <w:t>年</w:t>
      </w:r>
      <w:r>
        <w:rPr>
          <w:rFonts w:hint="eastAsia"/>
          <w:color w:val="auto"/>
          <w:sz w:val="24"/>
          <w:lang w:val="en-US" w:eastAsia="zh-CN"/>
        </w:rPr>
        <w:t>5</w:t>
      </w:r>
      <w:r>
        <w:rPr>
          <w:color w:val="auto"/>
          <w:sz w:val="24"/>
        </w:rPr>
        <w:t>月</w:t>
      </w:r>
      <w:r>
        <w:rPr>
          <w:rFonts w:hint="eastAsia"/>
          <w:color w:val="auto"/>
          <w:sz w:val="24"/>
        </w:rPr>
        <w:t>任务下达，</w:t>
      </w:r>
      <w:r>
        <w:rPr>
          <w:rFonts w:hint="eastAsia"/>
          <w:color w:val="auto"/>
          <w:sz w:val="24"/>
          <w:lang w:val="en-US" w:eastAsia="zh-CN"/>
        </w:rPr>
        <w:t>起草组正式成立</w:t>
      </w:r>
      <w:r>
        <w:rPr>
          <w:rFonts w:hint="eastAsia"/>
          <w:color w:val="auto"/>
          <w:sz w:val="24"/>
        </w:rPr>
        <w:t>；</w:t>
      </w:r>
    </w:p>
    <w:p w14:paraId="58BE2893">
      <w:pPr>
        <w:numPr>
          <w:ilvl w:val="0"/>
          <w:numId w:val="0"/>
        </w:numPr>
        <w:ind w:firstLine="480" w:firstLineChars="200"/>
        <w:rPr>
          <w:color w:val="auto"/>
          <w:sz w:val="24"/>
        </w:rPr>
      </w:pPr>
      <w:r>
        <w:rPr>
          <w:rFonts w:hint="eastAsia"/>
          <w:color w:val="auto"/>
          <w:sz w:val="24"/>
          <w:lang w:val="en-US" w:eastAsia="zh-CN"/>
        </w:rPr>
        <w:t>5.</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5</w:t>
      </w:r>
      <w:r>
        <w:rPr>
          <w:color w:val="auto"/>
          <w:sz w:val="24"/>
        </w:rPr>
        <w:t>月至202</w:t>
      </w:r>
      <w:r>
        <w:rPr>
          <w:rFonts w:hint="eastAsia"/>
          <w:color w:val="auto"/>
          <w:sz w:val="24"/>
          <w:lang w:val="en-US" w:eastAsia="zh-CN"/>
        </w:rPr>
        <w:t>5</w:t>
      </w:r>
      <w:r>
        <w:rPr>
          <w:color w:val="auto"/>
          <w:sz w:val="24"/>
        </w:rPr>
        <w:t>年</w:t>
      </w:r>
      <w:r>
        <w:rPr>
          <w:rFonts w:hint="eastAsia"/>
          <w:color w:val="auto"/>
          <w:sz w:val="24"/>
          <w:lang w:val="en-US" w:eastAsia="zh-CN"/>
        </w:rPr>
        <w:t>10</w:t>
      </w:r>
      <w:r>
        <w:rPr>
          <w:color w:val="auto"/>
          <w:sz w:val="24"/>
        </w:rPr>
        <w:t>月，</w:t>
      </w:r>
      <w:r>
        <w:rPr>
          <w:rFonts w:hint="eastAsia"/>
          <w:color w:val="auto"/>
          <w:sz w:val="24"/>
        </w:rPr>
        <w:t>起草组开展了进一步的</w:t>
      </w:r>
      <w:r>
        <w:rPr>
          <w:rFonts w:hint="eastAsia"/>
          <w:color w:val="auto"/>
          <w:sz w:val="24"/>
          <w:lang w:val="en-US" w:eastAsia="zh-CN"/>
        </w:rPr>
        <w:t>标准调研</w:t>
      </w:r>
      <w:r>
        <w:rPr>
          <w:color w:val="auto"/>
          <w:sz w:val="24"/>
        </w:rPr>
        <w:t>、实验和</w:t>
      </w:r>
      <w:r>
        <w:rPr>
          <w:rFonts w:hint="eastAsia"/>
          <w:color w:val="auto"/>
          <w:sz w:val="24"/>
        </w:rPr>
        <w:t>编写</w:t>
      </w:r>
      <w:r>
        <w:rPr>
          <w:color w:val="auto"/>
          <w:sz w:val="24"/>
        </w:rPr>
        <w:t>工作，形成</w:t>
      </w:r>
      <w:r>
        <w:rPr>
          <w:rFonts w:hint="eastAsia"/>
          <w:color w:val="auto"/>
          <w:sz w:val="24"/>
        </w:rPr>
        <w:t>了</w:t>
      </w:r>
      <w:r>
        <w:rPr>
          <w:color w:val="auto"/>
          <w:sz w:val="24"/>
        </w:rPr>
        <w:t>规程</w:t>
      </w:r>
      <w:r>
        <w:rPr>
          <w:rFonts w:hint="eastAsia"/>
          <w:color w:val="auto"/>
          <w:sz w:val="24"/>
          <w:lang w:val="en-US" w:eastAsia="zh-CN"/>
        </w:rPr>
        <w:t>初</w:t>
      </w:r>
      <w:r>
        <w:rPr>
          <w:color w:val="auto"/>
          <w:sz w:val="24"/>
        </w:rPr>
        <w:t>稿；</w:t>
      </w:r>
    </w:p>
    <w:p w14:paraId="12277CA7">
      <w:pPr>
        <w:numPr>
          <w:ilvl w:val="0"/>
          <w:numId w:val="0"/>
        </w:numPr>
        <w:ind w:firstLine="480" w:firstLineChars="200"/>
        <w:rPr>
          <w:color w:val="auto"/>
          <w:sz w:val="24"/>
        </w:rPr>
      </w:pPr>
      <w:r>
        <w:rPr>
          <w:rFonts w:hint="eastAsia"/>
          <w:color w:val="auto"/>
          <w:sz w:val="24"/>
          <w:lang w:val="en-US" w:eastAsia="zh-CN"/>
        </w:rPr>
        <w:t>6.</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11</w:t>
      </w:r>
      <w:r>
        <w:rPr>
          <w:color w:val="auto"/>
          <w:sz w:val="24"/>
        </w:rPr>
        <w:t>月</w:t>
      </w:r>
      <w:r>
        <w:rPr>
          <w:rFonts w:hint="eastAsia"/>
          <w:color w:val="auto"/>
          <w:sz w:val="24"/>
          <w:lang w:val="en-US" w:eastAsia="zh-CN"/>
        </w:rPr>
        <w:t>5</w:t>
      </w:r>
      <w:r>
        <w:rPr>
          <w:color w:val="auto"/>
          <w:sz w:val="24"/>
        </w:rPr>
        <w:t>日，起草组召开了</w:t>
      </w:r>
      <w:r>
        <w:rPr>
          <w:rFonts w:hint="eastAsia"/>
          <w:color w:val="auto"/>
          <w:sz w:val="24"/>
          <w:lang w:val="en-US" w:eastAsia="zh-CN"/>
        </w:rPr>
        <w:t>线上规程研讨会，重点</w:t>
      </w:r>
      <w:r>
        <w:rPr>
          <w:color w:val="auto"/>
          <w:sz w:val="24"/>
        </w:rPr>
        <w:t>针对</w:t>
      </w:r>
      <w:r>
        <w:rPr>
          <w:rFonts w:hint="eastAsia"/>
          <w:color w:val="auto"/>
          <w:sz w:val="24"/>
          <w:lang w:val="en-US" w:eastAsia="zh-CN"/>
        </w:rPr>
        <w:t>准确度等级、检定流量点选取</w:t>
      </w:r>
      <w:r>
        <w:rPr>
          <w:color w:val="auto"/>
          <w:sz w:val="24"/>
        </w:rPr>
        <w:t>等关键</w:t>
      </w:r>
      <w:r>
        <w:rPr>
          <w:rFonts w:hint="eastAsia"/>
          <w:color w:val="auto"/>
          <w:sz w:val="24"/>
          <w:lang w:eastAsia="zh-CN"/>
        </w:rPr>
        <w:t>部分作</w:t>
      </w:r>
      <w:r>
        <w:rPr>
          <w:color w:val="auto"/>
          <w:sz w:val="24"/>
        </w:rPr>
        <w:t>了</w:t>
      </w:r>
      <w:r>
        <w:rPr>
          <w:rFonts w:hint="eastAsia"/>
          <w:color w:val="auto"/>
          <w:sz w:val="24"/>
          <w:lang w:val="en-US" w:eastAsia="zh-CN"/>
        </w:rPr>
        <w:t>重点研讨</w:t>
      </w:r>
      <w:r>
        <w:rPr>
          <w:color w:val="auto"/>
          <w:sz w:val="24"/>
        </w:rPr>
        <w:t>，根据讨论结果</w:t>
      </w:r>
      <w:r>
        <w:rPr>
          <w:rFonts w:hint="eastAsia"/>
          <w:color w:val="auto"/>
          <w:sz w:val="24"/>
        </w:rPr>
        <w:t>，</w:t>
      </w:r>
      <w:r>
        <w:rPr>
          <w:color w:val="auto"/>
          <w:sz w:val="24"/>
        </w:rPr>
        <w:t>进一步修改规程</w:t>
      </w:r>
      <w:r>
        <w:rPr>
          <w:rFonts w:hint="eastAsia"/>
          <w:color w:val="auto"/>
          <w:sz w:val="24"/>
          <w:lang w:eastAsia="zh-CN"/>
        </w:rPr>
        <w:t>，</w:t>
      </w:r>
      <w:r>
        <w:rPr>
          <w:rFonts w:hint="eastAsia"/>
          <w:color w:val="auto"/>
          <w:sz w:val="24"/>
          <w:lang w:val="en-US" w:eastAsia="zh-CN"/>
        </w:rPr>
        <w:t>行程了规程初稿2.0版本</w:t>
      </w:r>
      <w:r>
        <w:rPr>
          <w:color w:val="auto"/>
          <w:sz w:val="24"/>
        </w:rPr>
        <w:t>；</w:t>
      </w:r>
    </w:p>
    <w:p w14:paraId="0FE5BFB4">
      <w:pPr>
        <w:numPr>
          <w:ilvl w:val="0"/>
          <w:numId w:val="0"/>
        </w:numPr>
        <w:ind w:firstLine="480" w:firstLineChars="200"/>
        <w:rPr>
          <w:rFonts w:hint="eastAsia" w:eastAsia="宋体"/>
          <w:color w:val="auto"/>
          <w:sz w:val="24"/>
          <w:lang w:eastAsia="zh-CN"/>
        </w:rPr>
      </w:pPr>
      <w:r>
        <w:rPr>
          <w:rFonts w:hint="eastAsia"/>
          <w:color w:val="auto"/>
          <w:sz w:val="24"/>
          <w:lang w:val="en-US" w:eastAsia="zh-CN"/>
        </w:rPr>
        <w:t>7.</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11</w:t>
      </w:r>
      <w:r>
        <w:rPr>
          <w:color w:val="auto"/>
          <w:sz w:val="24"/>
        </w:rPr>
        <w:t>月</w:t>
      </w:r>
      <w:r>
        <w:rPr>
          <w:rFonts w:hint="eastAsia"/>
          <w:color w:val="auto"/>
          <w:sz w:val="24"/>
          <w:lang w:val="en-US" w:eastAsia="zh-CN"/>
        </w:rPr>
        <w:t>至2026年6月</w:t>
      </w:r>
      <w:r>
        <w:rPr>
          <w:color w:val="auto"/>
          <w:sz w:val="24"/>
        </w:rPr>
        <w:t>，起草组</w:t>
      </w:r>
      <w:r>
        <w:rPr>
          <w:rFonts w:hint="eastAsia"/>
          <w:color w:val="auto"/>
          <w:sz w:val="24"/>
          <w:lang w:val="en-US" w:eastAsia="zh-CN"/>
        </w:rPr>
        <w:t>通过工作组针对实验进度、周期稳定度评价方法、检定点选择方法等问题进行了小组讨论，经修改完善，形成了规程初稿3.0版本</w:t>
      </w:r>
      <w:r>
        <w:rPr>
          <w:rFonts w:hint="eastAsia"/>
          <w:color w:val="auto"/>
          <w:sz w:val="24"/>
          <w:lang w:eastAsia="zh-CN"/>
        </w:rPr>
        <w:t>；</w:t>
      </w:r>
    </w:p>
    <w:p w14:paraId="40432B0D">
      <w:pPr>
        <w:numPr>
          <w:ilvl w:val="0"/>
          <w:numId w:val="0"/>
        </w:numPr>
        <w:ind w:firstLine="480" w:firstLineChars="200"/>
        <w:rPr>
          <w:rFonts w:hint="eastAsia"/>
          <w:color w:val="auto"/>
          <w:sz w:val="24"/>
        </w:rPr>
      </w:pPr>
      <w:r>
        <w:rPr>
          <w:rFonts w:hint="eastAsia"/>
          <w:color w:val="auto"/>
          <w:sz w:val="24"/>
          <w:lang w:val="en-US" w:eastAsia="zh-CN"/>
        </w:rPr>
        <w:t>6.</w:t>
      </w:r>
      <w:bookmarkStart w:id="1" w:name="_GoBack"/>
      <w:r>
        <w:rPr>
          <w:color w:val="auto"/>
          <w:sz w:val="24"/>
        </w:rPr>
        <w:t>202</w:t>
      </w:r>
      <w:r>
        <w:rPr>
          <w:rFonts w:hint="eastAsia"/>
          <w:color w:val="auto"/>
          <w:sz w:val="24"/>
          <w:lang w:val="en-US" w:eastAsia="zh-CN"/>
        </w:rPr>
        <w:t>6</w:t>
      </w:r>
      <w:r>
        <w:rPr>
          <w:color w:val="auto"/>
          <w:sz w:val="24"/>
        </w:rPr>
        <w:t>年</w:t>
      </w:r>
      <w:r>
        <w:rPr>
          <w:rFonts w:hint="eastAsia"/>
          <w:color w:val="auto"/>
          <w:sz w:val="24"/>
          <w:lang w:val="en-US" w:eastAsia="zh-CN"/>
        </w:rPr>
        <w:t>6</w:t>
      </w:r>
      <w:r>
        <w:rPr>
          <w:color w:val="auto"/>
          <w:sz w:val="24"/>
        </w:rPr>
        <w:t>月</w:t>
      </w:r>
      <w:r>
        <w:rPr>
          <w:rFonts w:hint="eastAsia"/>
          <w:color w:val="auto"/>
          <w:sz w:val="24"/>
          <w:lang w:val="en-US" w:eastAsia="zh-CN"/>
        </w:rPr>
        <w:t>25</w:t>
      </w:r>
      <w:r>
        <w:rPr>
          <w:color w:val="auto"/>
          <w:sz w:val="24"/>
        </w:rPr>
        <w:t>日，起草组召开了</w:t>
      </w:r>
      <w:r>
        <w:rPr>
          <w:rFonts w:hint="eastAsia"/>
          <w:color w:val="auto"/>
          <w:sz w:val="24"/>
          <w:lang w:val="en-US" w:eastAsia="zh-CN"/>
        </w:rPr>
        <w:t>线下规程研讨会，重点</w:t>
      </w:r>
      <w:r>
        <w:rPr>
          <w:color w:val="auto"/>
          <w:sz w:val="24"/>
        </w:rPr>
        <w:t>针对</w:t>
      </w:r>
      <w:r>
        <w:rPr>
          <w:rFonts w:hint="eastAsia"/>
          <w:color w:val="auto"/>
          <w:sz w:val="24"/>
          <w:lang w:val="en-US" w:eastAsia="zh-CN"/>
        </w:rPr>
        <w:t>周期稳定度、准确度等级、检定流量点选取</w:t>
      </w:r>
      <w:r>
        <w:rPr>
          <w:color w:val="auto"/>
          <w:sz w:val="24"/>
        </w:rPr>
        <w:t>等关键</w:t>
      </w:r>
      <w:r>
        <w:rPr>
          <w:rFonts w:hint="eastAsia"/>
          <w:color w:val="auto"/>
          <w:sz w:val="24"/>
          <w:lang w:eastAsia="zh-CN"/>
        </w:rPr>
        <w:t>部分作</w:t>
      </w:r>
      <w:r>
        <w:rPr>
          <w:color w:val="auto"/>
          <w:sz w:val="24"/>
        </w:rPr>
        <w:t>了</w:t>
      </w:r>
      <w:r>
        <w:rPr>
          <w:rFonts w:hint="eastAsia"/>
          <w:color w:val="auto"/>
          <w:sz w:val="24"/>
          <w:lang w:val="en-US" w:eastAsia="zh-CN"/>
        </w:rPr>
        <w:t>重点研讨</w:t>
      </w:r>
      <w:r>
        <w:rPr>
          <w:color w:val="auto"/>
          <w:sz w:val="24"/>
        </w:rPr>
        <w:t>，</w:t>
      </w:r>
      <w:r>
        <w:rPr>
          <w:rFonts w:hint="eastAsia"/>
          <w:color w:val="auto"/>
          <w:sz w:val="24"/>
          <w:lang w:val="en-US" w:eastAsia="zh-CN"/>
        </w:rPr>
        <w:t>形成了征求意见稿</w:t>
      </w:r>
      <w:bookmarkEnd w:id="1"/>
      <w:r>
        <w:rPr>
          <w:rFonts w:hint="eastAsia"/>
          <w:color w:val="auto"/>
          <w:sz w:val="24"/>
          <w:lang w:val="en-US" w:eastAsia="zh-CN"/>
        </w:rPr>
        <w:t>。</w:t>
      </w:r>
    </w:p>
    <w:p w14:paraId="7BF8163B">
      <w:pPr>
        <w:tabs>
          <w:tab w:val="left" w:pos="720"/>
        </w:tabs>
        <w:spacing w:line="360" w:lineRule="auto"/>
        <w:ind w:firstLine="480" w:firstLineChars="200"/>
        <w:rPr>
          <w:rFonts w:hint="eastAsia" w:hAnsi="宋体"/>
          <w:b/>
          <w:color w:val="auto"/>
          <w:sz w:val="24"/>
        </w:rPr>
      </w:pPr>
      <w:r>
        <w:rPr>
          <w:rFonts w:hint="eastAsia" w:hAnsi="宋体"/>
          <w:b/>
          <w:color w:val="auto"/>
          <w:sz w:val="24"/>
        </w:rPr>
        <w:t>第二阶段：征求意见阶段</w:t>
      </w:r>
    </w:p>
    <w:p w14:paraId="7779DE53">
      <w:pPr>
        <w:numPr>
          <w:ilvl w:val="0"/>
          <w:numId w:val="0"/>
        </w:numPr>
        <w:ind w:firstLine="480" w:firstLineChars="200"/>
        <w:rPr>
          <w:color w:val="auto"/>
          <w:sz w:val="24"/>
        </w:rPr>
      </w:pPr>
      <w:r>
        <w:rPr>
          <w:rFonts w:hint="eastAsia"/>
          <w:color w:val="auto"/>
          <w:sz w:val="24"/>
          <w:lang w:val="en-US" w:eastAsia="zh-CN"/>
        </w:rPr>
        <w:t>1.</w:t>
      </w:r>
      <w:r>
        <w:rPr>
          <w:color w:val="auto"/>
          <w:sz w:val="24"/>
        </w:rPr>
        <w:t>202</w:t>
      </w:r>
      <w:r>
        <w:rPr>
          <w:rFonts w:hint="eastAsia"/>
          <w:color w:val="auto"/>
          <w:sz w:val="24"/>
          <w:lang w:val="en-US" w:eastAsia="zh-CN"/>
        </w:rPr>
        <w:t>6</w:t>
      </w:r>
      <w:r>
        <w:rPr>
          <w:color w:val="auto"/>
          <w:sz w:val="24"/>
        </w:rPr>
        <w:t>年</w:t>
      </w:r>
      <w:r>
        <w:rPr>
          <w:rFonts w:hint="eastAsia" w:ascii="Calibri"/>
          <w:color w:val="auto"/>
          <w:sz w:val="24"/>
          <w:lang w:val="en-US" w:eastAsia="zh-CN"/>
        </w:rPr>
        <w:t>X</w:t>
      </w:r>
      <w:r>
        <w:rPr>
          <w:rFonts w:hint="eastAsia" w:ascii="Calibri"/>
          <w:color w:val="auto"/>
          <w:sz w:val="24"/>
        </w:rPr>
        <w:t>月底</w:t>
      </w:r>
      <w:r>
        <w:rPr>
          <w:color w:val="auto"/>
          <w:sz w:val="24"/>
        </w:rPr>
        <w:t>，起草组根据</w:t>
      </w:r>
      <w:r>
        <w:rPr>
          <w:rFonts w:hint="eastAsia"/>
          <w:color w:val="auto"/>
          <w:sz w:val="24"/>
        </w:rPr>
        <w:t>扩大</w:t>
      </w:r>
      <w:r>
        <w:rPr>
          <w:color w:val="auto"/>
          <w:sz w:val="24"/>
        </w:rPr>
        <w:t>会议中各位代表提出的问题，进一步修改规程</w:t>
      </w:r>
      <w:r>
        <w:rPr>
          <w:rFonts w:hint="eastAsia"/>
          <w:color w:val="auto"/>
          <w:sz w:val="24"/>
        </w:rPr>
        <w:t>，</w:t>
      </w:r>
      <w:r>
        <w:rPr>
          <w:color w:val="auto"/>
          <w:sz w:val="24"/>
        </w:rPr>
        <w:t>形成规程征求意见稿；</w:t>
      </w:r>
    </w:p>
    <w:p w14:paraId="3C54B394">
      <w:pPr>
        <w:numPr>
          <w:ilvl w:val="0"/>
          <w:numId w:val="0"/>
        </w:numPr>
        <w:ind w:firstLine="480" w:firstLineChars="200"/>
        <w:rPr>
          <w:color w:val="auto"/>
          <w:sz w:val="24"/>
        </w:rPr>
      </w:pPr>
      <w:r>
        <w:rPr>
          <w:rFonts w:hint="eastAsia"/>
          <w:color w:val="auto"/>
          <w:sz w:val="24"/>
          <w:lang w:val="en-US" w:eastAsia="zh-CN"/>
        </w:rPr>
        <w:t>2.</w:t>
      </w:r>
      <w:r>
        <w:rPr>
          <w:color w:val="auto"/>
          <w:sz w:val="24"/>
        </w:rPr>
        <w:t>202</w:t>
      </w:r>
      <w:r>
        <w:rPr>
          <w:rFonts w:hint="eastAsia"/>
          <w:color w:val="auto"/>
          <w:sz w:val="24"/>
          <w:lang w:val="en-US" w:eastAsia="zh-CN"/>
        </w:rPr>
        <w:t>6</w:t>
      </w:r>
      <w:r>
        <w:rPr>
          <w:color w:val="auto"/>
          <w:sz w:val="24"/>
        </w:rPr>
        <w:t>年</w:t>
      </w:r>
      <w:r>
        <w:rPr>
          <w:rFonts w:hint="eastAsia"/>
          <w:color w:val="auto"/>
          <w:sz w:val="24"/>
          <w:lang w:val="en-US" w:eastAsia="zh-CN"/>
        </w:rPr>
        <w:t>X</w:t>
      </w:r>
      <w:r>
        <w:rPr>
          <w:color w:val="auto"/>
          <w:sz w:val="24"/>
        </w:rPr>
        <w:t>月</w:t>
      </w:r>
      <w:r>
        <w:rPr>
          <w:rFonts w:hint="eastAsia"/>
          <w:color w:val="auto"/>
          <w:sz w:val="24"/>
          <w:lang w:val="en-US" w:eastAsia="zh-CN"/>
        </w:rPr>
        <w:t>X</w:t>
      </w:r>
      <w:r>
        <w:rPr>
          <w:rFonts w:hint="eastAsia"/>
          <w:color w:val="auto"/>
          <w:sz w:val="24"/>
        </w:rPr>
        <w:t>日</w:t>
      </w:r>
      <w:r>
        <w:rPr>
          <w:rFonts w:hint="eastAsia"/>
          <w:color w:val="auto"/>
          <w:sz w:val="24"/>
          <w:lang w:eastAsia="zh-CN"/>
        </w:rPr>
        <w:t>～</w:t>
      </w:r>
      <w:r>
        <w:rPr>
          <w:rFonts w:hint="eastAsia"/>
          <w:color w:val="auto"/>
          <w:sz w:val="24"/>
        </w:rPr>
        <w:t>202</w:t>
      </w:r>
      <w:r>
        <w:rPr>
          <w:rFonts w:hint="eastAsia"/>
          <w:color w:val="auto"/>
          <w:sz w:val="24"/>
          <w:lang w:val="en-US" w:eastAsia="zh-CN"/>
        </w:rPr>
        <w:t>6</w:t>
      </w:r>
      <w:r>
        <w:rPr>
          <w:rFonts w:hint="eastAsia"/>
          <w:color w:val="auto"/>
          <w:sz w:val="24"/>
        </w:rPr>
        <w:t>年</w:t>
      </w:r>
      <w:r>
        <w:rPr>
          <w:rFonts w:hint="eastAsia"/>
          <w:color w:val="auto"/>
          <w:sz w:val="24"/>
          <w:lang w:val="en-US" w:eastAsia="zh-CN"/>
        </w:rPr>
        <w:t>X</w:t>
      </w:r>
      <w:r>
        <w:rPr>
          <w:rFonts w:hint="eastAsia"/>
          <w:color w:val="auto"/>
          <w:sz w:val="24"/>
        </w:rPr>
        <w:t>月</w:t>
      </w:r>
      <w:r>
        <w:rPr>
          <w:rFonts w:hint="eastAsia"/>
          <w:color w:val="auto"/>
          <w:sz w:val="24"/>
          <w:lang w:val="en-US" w:eastAsia="zh-CN"/>
        </w:rPr>
        <w:t>X</w:t>
      </w:r>
      <w:r>
        <w:rPr>
          <w:rFonts w:hint="eastAsia"/>
          <w:color w:val="auto"/>
          <w:sz w:val="24"/>
        </w:rPr>
        <w:t>日</w:t>
      </w:r>
      <w:r>
        <w:rPr>
          <w:color w:val="auto"/>
          <w:sz w:val="24"/>
        </w:rPr>
        <w:t>，</w:t>
      </w:r>
      <w:r>
        <w:rPr>
          <w:rFonts w:hint="eastAsia"/>
          <w:color w:val="auto"/>
          <w:sz w:val="24"/>
        </w:rPr>
        <w:t>JJGXXXX-202X《</w:t>
      </w:r>
      <w:r>
        <w:rPr>
          <w:rFonts w:hint="eastAsia"/>
          <w:color w:val="auto"/>
          <w:sz w:val="24"/>
          <w:lang w:val="en-US" w:eastAsia="zh-CN"/>
        </w:rPr>
        <w:t>电磁流量计</w:t>
      </w:r>
      <w:r>
        <w:rPr>
          <w:rFonts w:hint="eastAsia"/>
          <w:color w:val="auto"/>
          <w:sz w:val="24"/>
        </w:rPr>
        <w:t>》（征求意见稿）由全国流量计量技术委员会在中国计量协会官网对外发布，同时，起草组也向各个省级技术机构发送电子邮件征求意见，通过</w:t>
      </w:r>
      <w:r>
        <w:rPr>
          <w:rFonts w:hint="eastAsia"/>
          <w:color w:val="auto"/>
          <w:sz w:val="24"/>
        </w:rPr>
        <w:t>工业计量、计量资讯速递</w:t>
      </w:r>
      <w:r>
        <w:rPr>
          <w:rFonts w:hint="eastAsia"/>
          <w:color w:val="auto"/>
          <w:sz w:val="24"/>
        </w:rPr>
        <w:t>等微信公众号进行了意见征集推送。</w:t>
      </w:r>
    </w:p>
    <w:p w14:paraId="22BE7C1E">
      <w:pPr>
        <w:numPr>
          <w:ilvl w:val="0"/>
          <w:numId w:val="0"/>
        </w:numPr>
        <w:ind w:firstLine="480" w:firstLineChars="200"/>
        <w:rPr>
          <w:color w:val="auto"/>
          <w:sz w:val="24"/>
        </w:rPr>
      </w:pPr>
      <w:r>
        <w:rPr>
          <w:rFonts w:hint="eastAsia"/>
          <w:color w:val="auto"/>
          <w:sz w:val="24"/>
          <w:lang w:val="en-US" w:eastAsia="zh-CN"/>
        </w:rPr>
        <w:t>3.</w:t>
      </w:r>
      <w:r>
        <w:rPr>
          <w:rFonts w:hint="eastAsia"/>
          <w:color w:val="auto"/>
          <w:sz w:val="24"/>
        </w:rPr>
        <w:t>经过对广泛征求意见汇总和小结，起草小组对征集到的</w:t>
      </w:r>
      <w:r>
        <w:rPr>
          <w:rFonts w:hint="eastAsia"/>
          <w:color w:val="auto"/>
          <w:sz w:val="24"/>
          <w:lang w:val="en-US" w:eastAsia="zh-CN"/>
        </w:rPr>
        <w:t>XX</w:t>
      </w:r>
      <w:r>
        <w:rPr>
          <w:rFonts w:hint="eastAsia"/>
          <w:color w:val="auto"/>
          <w:sz w:val="24"/>
        </w:rPr>
        <w:t>条意见逐条进行了讨论，并进行了妥善处理（详见“征求意见汇总”），对规程内容进行了补充和完善，在综合了返回意见后，结合验证试验报告形成报审稿。</w:t>
      </w:r>
    </w:p>
    <w:p w14:paraId="00AC6112">
      <w:pPr>
        <w:ind w:firstLine="480" w:firstLineChars="200"/>
        <w:rPr>
          <w:rFonts w:hint="eastAsia" w:hAnsi="宋体"/>
          <w:color w:val="auto"/>
          <w:sz w:val="24"/>
        </w:rPr>
      </w:pPr>
      <w:r>
        <w:rPr>
          <w:rFonts w:hint="eastAsia" w:hAnsi="宋体"/>
          <w:b/>
          <w:color w:val="auto"/>
          <w:sz w:val="24"/>
        </w:rPr>
        <w:t>第三阶段：</w:t>
      </w:r>
      <w:r>
        <w:rPr>
          <w:rFonts w:hAnsi="宋体"/>
          <w:b/>
          <w:color w:val="auto"/>
          <w:sz w:val="24"/>
        </w:rPr>
        <w:t xml:space="preserve"> </w:t>
      </w:r>
      <w:r>
        <w:rPr>
          <w:rFonts w:hint="eastAsia" w:hAnsi="宋体"/>
          <w:b/>
          <w:color w:val="auto"/>
          <w:sz w:val="24"/>
        </w:rPr>
        <w:t>审查报审报批阶段</w:t>
      </w:r>
      <w:r>
        <w:rPr>
          <w:rFonts w:hint="eastAsia" w:hAnsi="宋体"/>
          <w:color w:val="auto"/>
          <w:sz w:val="24"/>
        </w:rPr>
        <w:t xml:space="preserve">  </w:t>
      </w:r>
    </w:p>
    <w:p w14:paraId="70149EAB">
      <w:pPr>
        <w:numPr>
          <w:ilvl w:val="0"/>
          <w:numId w:val="0"/>
        </w:numPr>
        <w:ind w:firstLine="480" w:firstLineChars="200"/>
        <w:rPr>
          <w:color w:val="auto"/>
          <w:sz w:val="24"/>
        </w:rPr>
      </w:pPr>
      <w:r>
        <w:rPr>
          <w:rFonts w:hint="eastAsia"/>
          <w:color w:val="auto"/>
          <w:sz w:val="24"/>
          <w:lang w:val="en-US" w:eastAsia="zh-CN"/>
        </w:rPr>
        <w:t>1.</w:t>
      </w:r>
      <w:r>
        <w:rPr>
          <w:rFonts w:hint="eastAsia"/>
          <w:color w:val="auto"/>
          <w:sz w:val="24"/>
        </w:rPr>
        <w:t>202</w:t>
      </w:r>
      <w:r>
        <w:rPr>
          <w:rFonts w:hint="eastAsia"/>
          <w:color w:val="auto"/>
          <w:sz w:val="24"/>
          <w:lang w:val="en-US" w:eastAsia="zh-CN"/>
        </w:rPr>
        <w:t>6</w:t>
      </w:r>
      <w:r>
        <w:rPr>
          <w:rFonts w:hint="eastAsia"/>
          <w:color w:val="auto"/>
          <w:sz w:val="24"/>
        </w:rPr>
        <w:t>年</w:t>
      </w:r>
      <w:r>
        <w:rPr>
          <w:rFonts w:hint="eastAsia"/>
          <w:color w:val="auto"/>
          <w:sz w:val="24"/>
          <w:lang w:val="en-US" w:eastAsia="zh-CN"/>
        </w:rPr>
        <w:t>X</w:t>
      </w:r>
      <w:r>
        <w:rPr>
          <w:rFonts w:hint="eastAsia"/>
          <w:color w:val="auto"/>
          <w:sz w:val="24"/>
        </w:rPr>
        <w:t>月</w:t>
      </w:r>
      <w:r>
        <w:rPr>
          <w:rFonts w:hint="eastAsia"/>
          <w:color w:val="auto"/>
          <w:sz w:val="24"/>
          <w:lang w:val="en-US" w:eastAsia="zh-CN"/>
        </w:rPr>
        <w:t>X</w:t>
      </w:r>
      <w:r>
        <w:rPr>
          <w:rFonts w:hint="eastAsia"/>
          <w:color w:val="auto"/>
          <w:sz w:val="24"/>
        </w:rPr>
        <w:t>日，提交技术委员会委员秘书处送审资料。待审定。</w:t>
      </w:r>
    </w:p>
    <w:p w14:paraId="6217E9A0">
      <w:pPr>
        <w:numPr>
          <w:ilvl w:val="0"/>
          <w:numId w:val="0"/>
        </w:numPr>
        <w:ind w:firstLine="480" w:firstLineChars="200"/>
        <w:rPr>
          <w:color w:val="auto"/>
          <w:sz w:val="24"/>
        </w:rPr>
      </w:pPr>
      <w:r>
        <w:rPr>
          <w:rFonts w:hint="eastAsia"/>
          <w:color w:val="auto"/>
          <w:sz w:val="24"/>
          <w:lang w:val="en-US" w:eastAsia="zh-CN"/>
        </w:rPr>
        <w:t>2.</w:t>
      </w:r>
      <w:r>
        <w:rPr>
          <w:rFonts w:hint="eastAsia"/>
          <w:color w:val="auto"/>
          <w:sz w:val="24"/>
        </w:rPr>
        <w:t>202</w:t>
      </w:r>
      <w:r>
        <w:rPr>
          <w:rFonts w:hint="eastAsia"/>
          <w:color w:val="auto"/>
          <w:sz w:val="24"/>
          <w:lang w:val="en-US" w:eastAsia="zh-CN"/>
        </w:rPr>
        <w:t>6</w:t>
      </w:r>
      <w:r>
        <w:rPr>
          <w:rFonts w:hint="eastAsia"/>
          <w:color w:val="auto"/>
          <w:sz w:val="24"/>
        </w:rPr>
        <w:t>年</w:t>
      </w:r>
      <w:r>
        <w:rPr>
          <w:rFonts w:hint="eastAsia"/>
          <w:color w:val="auto"/>
          <w:sz w:val="24"/>
          <w:lang w:val="en-US" w:eastAsia="zh-CN"/>
        </w:rPr>
        <w:t>X</w:t>
      </w:r>
      <w:r>
        <w:rPr>
          <w:rFonts w:hint="eastAsia"/>
          <w:color w:val="auto"/>
          <w:sz w:val="24"/>
        </w:rPr>
        <w:t>月</w:t>
      </w:r>
      <w:r>
        <w:rPr>
          <w:rFonts w:hint="eastAsia"/>
          <w:color w:val="auto"/>
          <w:sz w:val="24"/>
          <w:lang w:val="en-US" w:eastAsia="zh-CN"/>
        </w:rPr>
        <w:t>X</w:t>
      </w:r>
      <w:r>
        <w:rPr>
          <w:rFonts w:hint="eastAsia"/>
          <w:color w:val="auto"/>
          <w:sz w:val="24"/>
        </w:rPr>
        <w:t>日，MTC3/SC1召开全体委员预审定会。</w:t>
      </w:r>
    </w:p>
    <w:p w14:paraId="4A6A8CE5">
      <w:pPr>
        <w:numPr>
          <w:ilvl w:val="0"/>
          <w:numId w:val="0"/>
        </w:numPr>
        <w:ind w:firstLine="480" w:firstLineChars="200"/>
        <w:rPr>
          <w:color w:val="auto"/>
          <w:sz w:val="24"/>
        </w:rPr>
      </w:pPr>
      <w:r>
        <w:rPr>
          <w:rFonts w:hint="eastAsia"/>
          <w:color w:val="auto"/>
          <w:sz w:val="24"/>
          <w:lang w:val="en-US" w:eastAsia="zh-CN"/>
        </w:rPr>
        <w:t>3.</w:t>
      </w:r>
      <w:r>
        <w:rPr>
          <w:rFonts w:hint="eastAsia"/>
          <w:color w:val="auto"/>
          <w:sz w:val="24"/>
        </w:rPr>
        <w:t>202</w:t>
      </w:r>
      <w:r>
        <w:rPr>
          <w:rFonts w:hint="eastAsia"/>
          <w:color w:val="auto"/>
          <w:sz w:val="24"/>
          <w:lang w:val="en-US" w:eastAsia="zh-CN"/>
        </w:rPr>
        <w:t>6</w:t>
      </w:r>
      <w:r>
        <w:rPr>
          <w:rFonts w:hint="eastAsia"/>
          <w:color w:val="auto"/>
          <w:sz w:val="24"/>
        </w:rPr>
        <w:t>年</w:t>
      </w:r>
      <w:r>
        <w:rPr>
          <w:rFonts w:hint="eastAsia"/>
          <w:color w:val="auto"/>
          <w:sz w:val="24"/>
          <w:lang w:val="en-US" w:eastAsia="zh-CN"/>
        </w:rPr>
        <w:t>X</w:t>
      </w:r>
      <w:r>
        <w:rPr>
          <w:rFonts w:hint="eastAsia"/>
          <w:color w:val="auto"/>
          <w:sz w:val="24"/>
        </w:rPr>
        <w:t>月，根据MTC3</w:t>
      </w:r>
      <w:r>
        <w:rPr>
          <w:color w:val="auto"/>
          <w:sz w:val="24"/>
        </w:rPr>
        <w:t>/SC1</w:t>
      </w:r>
      <w:r>
        <w:rPr>
          <w:rFonts w:hint="eastAsia"/>
          <w:color w:val="auto"/>
          <w:sz w:val="24"/>
        </w:rPr>
        <w:t>审定意见，修改形成报批稿，向总局报批。</w:t>
      </w:r>
    </w:p>
    <w:p w14:paraId="74AC0B00">
      <w:pPr>
        <w:numPr>
          <w:ilvl w:val="0"/>
          <w:numId w:val="0"/>
        </w:numPr>
        <w:spacing w:line="276" w:lineRule="auto"/>
        <w:ind w:leftChars="0" w:firstLine="480" w:firstLineChars="200"/>
        <w:rPr>
          <w:b/>
          <w:color w:val="auto"/>
          <w:sz w:val="24"/>
        </w:rPr>
      </w:pPr>
      <w:r>
        <w:rPr>
          <w:rFonts w:hint="eastAsia"/>
          <w:b/>
          <w:color w:val="auto"/>
          <w:sz w:val="24"/>
          <w:lang w:val="en-US" w:eastAsia="zh-CN"/>
        </w:rPr>
        <w:t>五、</w:t>
      </w:r>
      <w:r>
        <w:rPr>
          <w:rFonts w:hint="eastAsia"/>
          <w:b/>
          <w:color w:val="auto"/>
          <w:sz w:val="24"/>
        </w:rPr>
        <w:t>编制主要技术指标说明</w:t>
      </w:r>
    </w:p>
    <w:p w14:paraId="7857D3BB">
      <w:pPr>
        <w:pStyle w:val="20"/>
        <w:ind w:firstLine="480"/>
        <w:rPr>
          <w:rFonts w:hint="eastAsia" w:cstheme="minorBidi"/>
          <w:color w:val="auto"/>
        </w:rPr>
      </w:pPr>
      <w:r>
        <w:rPr>
          <w:rFonts w:hint="eastAsia" w:cstheme="minorBidi"/>
          <w:color w:val="auto"/>
        </w:rPr>
        <w:t>本规程在参考JJG 1033-2007《电磁流量计》的基础上，主要变化如下：</w:t>
      </w:r>
    </w:p>
    <w:p w14:paraId="50A2E0D5">
      <w:pPr>
        <w:pStyle w:val="20"/>
        <w:ind w:firstLine="480"/>
        <w:rPr>
          <w:rFonts w:hint="eastAsia" w:cstheme="minorBidi"/>
          <w:color w:val="auto"/>
        </w:rPr>
      </w:pPr>
      <w:r>
        <w:rPr>
          <w:rFonts w:hint="eastAsia" w:cstheme="minorBidi"/>
          <w:color w:val="auto"/>
        </w:rPr>
        <w:t>1. 按照JJF 1002-2010要求增加"引言"章节</w:t>
      </w:r>
    </w:p>
    <w:p w14:paraId="6C20708E">
      <w:pPr>
        <w:pStyle w:val="20"/>
        <w:ind w:firstLine="480"/>
        <w:rPr>
          <w:rFonts w:hint="eastAsia" w:cstheme="minorBidi"/>
          <w:color w:val="auto"/>
        </w:rPr>
      </w:pPr>
      <w:r>
        <w:rPr>
          <w:rFonts w:hint="eastAsia" w:cstheme="minorBidi"/>
          <w:color w:val="auto"/>
        </w:rPr>
        <w:t>按照JJF 1002-2010《国家计量检定规程编写规则》的要求，增加了"引言"章节，说明规程的编制依据、与旧版规程的主要变化、历次版本发布情况等内容，使规程结构更加规范完整。</w:t>
      </w:r>
    </w:p>
    <w:p w14:paraId="0B4FF9B3">
      <w:pPr>
        <w:pStyle w:val="20"/>
        <w:ind w:firstLine="480"/>
        <w:rPr>
          <w:rFonts w:hint="eastAsia" w:cstheme="minorBidi"/>
          <w:color w:val="auto"/>
        </w:rPr>
      </w:pPr>
      <w:r>
        <w:rPr>
          <w:rFonts w:hint="eastAsia" w:cstheme="minorBidi"/>
          <w:color w:val="auto"/>
        </w:rPr>
        <w:t>2. 调整并更新引用文件</w:t>
      </w:r>
    </w:p>
    <w:p w14:paraId="4E902DA0">
      <w:pPr>
        <w:pStyle w:val="20"/>
        <w:ind w:firstLine="480"/>
        <w:rPr>
          <w:rFonts w:hint="eastAsia" w:cstheme="minorBidi"/>
          <w:color w:val="auto"/>
        </w:rPr>
      </w:pPr>
      <w:r>
        <w:rPr>
          <w:rFonts w:hint="eastAsia" w:cstheme="minorBidi"/>
          <w:color w:val="auto"/>
        </w:rPr>
        <w:t>删除了GB/T 18660，统一引用GB/T 18659，将相关标准更新为现行有效版本，确保引用文件的时效性和准确性。原规程同时引用GB/T 18659和GB/T 18660两个标准，经核实，GB/T 18659-2023已涵盖了原两个标准的内容，故统一引用GB/T 18659。</w:t>
      </w:r>
    </w:p>
    <w:p w14:paraId="0D5BAD98">
      <w:pPr>
        <w:pStyle w:val="20"/>
        <w:ind w:firstLine="480"/>
        <w:rPr>
          <w:rFonts w:hint="eastAsia" w:cstheme="minorBidi"/>
          <w:color w:val="auto"/>
        </w:rPr>
      </w:pPr>
      <w:r>
        <w:rPr>
          <w:rFonts w:hint="eastAsia" w:cstheme="minorBidi"/>
          <w:color w:val="auto"/>
        </w:rPr>
        <w:t>3. 完善"术语和计量单位"章节</w:t>
      </w:r>
    </w:p>
    <w:p w14:paraId="61F36A4A">
      <w:pPr>
        <w:pStyle w:val="20"/>
        <w:ind w:firstLine="480"/>
        <w:rPr>
          <w:rFonts w:hint="eastAsia" w:cstheme="minorBidi"/>
          <w:color w:val="auto"/>
        </w:rPr>
      </w:pPr>
      <w:r>
        <w:rPr>
          <w:rFonts w:hint="eastAsia" w:cstheme="minorBidi"/>
          <w:color w:val="auto"/>
        </w:rPr>
        <w:t>将原"一次装置/二次装置"术语调整为"传感器/变送器"，与GB/T 18659-2023保持一致，便于与国际标准接轨；新增"周期稳定度"术语，为后续计量性能要求提供术语支撑；补充了主要量的计量单位规定，使计量单位更加明确规范。</w:t>
      </w:r>
    </w:p>
    <w:p w14:paraId="30D2A128">
      <w:pPr>
        <w:pStyle w:val="20"/>
        <w:ind w:firstLine="480"/>
        <w:rPr>
          <w:rFonts w:hint="eastAsia" w:cstheme="minorBidi"/>
          <w:color w:val="auto"/>
        </w:rPr>
      </w:pPr>
      <w:r>
        <w:rPr>
          <w:rFonts w:hint="eastAsia" w:cstheme="minorBidi"/>
          <w:color w:val="auto"/>
        </w:rPr>
        <w:t>4. 优化"概述"章节结构</w:t>
      </w:r>
    </w:p>
    <w:p w14:paraId="185FFE4B">
      <w:pPr>
        <w:pStyle w:val="20"/>
        <w:ind w:firstLine="480"/>
        <w:rPr>
          <w:rFonts w:hint="eastAsia" w:cstheme="minorBidi"/>
          <w:color w:val="auto"/>
        </w:rPr>
      </w:pPr>
      <w:r>
        <w:rPr>
          <w:rFonts w:hint="eastAsia" w:cstheme="minorBidi"/>
          <w:color w:val="auto"/>
        </w:rPr>
        <w:t>补充了流量计典型结构示意图，完善了组成及构造说明，使读者能够更直观地了解电磁流量计的结构和工作原理。</w:t>
      </w:r>
    </w:p>
    <w:p w14:paraId="1272954D">
      <w:pPr>
        <w:pStyle w:val="20"/>
        <w:ind w:firstLine="480"/>
        <w:rPr>
          <w:rFonts w:hint="eastAsia" w:cstheme="minorBidi"/>
          <w:color w:val="auto"/>
        </w:rPr>
      </w:pPr>
      <w:r>
        <w:rPr>
          <w:rFonts w:hint="eastAsia" w:cstheme="minorBidi"/>
          <w:color w:val="auto"/>
        </w:rPr>
        <w:t>5. 准确度等级调整</w:t>
      </w:r>
    </w:p>
    <w:p w14:paraId="4A66161C">
      <w:pPr>
        <w:pStyle w:val="20"/>
        <w:ind w:firstLine="480"/>
        <w:rPr>
          <w:rFonts w:hint="eastAsia" w:cstheme="minorBidi"/>
          <w:color w:val="auto"/>
        </w:rPr>
      </w:pPr>
      <w:r>
        <w:rPr>
          <w:rFonts w:hint="eastAsia" w:cstheme="minorBidi"/>
          <w:color w:val="auto"/>
        </w:rPr>
        <w:t>准确度等级增加了0.15级和2.0级，删除了原规程中带括号的非优先等级0.25级与2.5级。随着国内电磁流量计制造水平的快速发展，起草组调研了大量流量计生产厂家及用户，国内市场对高准确度等级（0.15级）和低准确度等级（2.0级）的流量计均有需求，而0.25级和2.5级经调研后发现，市场上该等级电磁流量计较少，用户端需求也完全可由其他等级流量计代替，故本次修订予以调整。</w:t>
      </w:r>
    </w:p>
    <w:p w14:paraId="659D3381">
      <w:pPr>
        <w:pStyle w:val="20"/>
        <w:ind w:firstLine="480"/>
        <w:rPr>
          <w:rFonts w:hint="eastAsia" w:cstheme="minorBidi"/>
          <w:color w:val="auto"/>
        </w:rPr>
      </w:pPr>
      <w:r>
        <w:rPr>
          <w:rFonts w:hint="eastAsia" w:cstheme="minorBidi"/>
          <w:color w:val="auto"/>
        </w:rPr>
        <w:t>6. 新增"周期稳定度"计量性能要求</w:t>
      </w:r>
    </w:p>
    <w:p w14:paraId="5EB7781B">
      <w:pPr>
        <w:pStyle w:val="20"/>
        <w:ind w:firstLine="480"/>
        <w:rPr>
          <w:rFonts w:hint="eastAsia" w:cstheme="minorBidi"/>
          <w:color w:val="auto"/>
        </w:rPr>
      </w:pPr>
      <w:r>
        <w:rPr>
          <w:rFonts w:hint="eastAsia" w:cstheme="minorBidi"/>
          <w:color w:val="auto"/>
        </w:rPr>
        <w:t>参照其他新制定的流量计检定规程，增加了周期稳定度定义，给出了周期稳定度的算法。经讨论，周期稳定度要求为不大于2，其含义是若检定合格的流量计周期稳定度肯定是合格的，周期稳定度要求只对示值误差超差的流量计有效。因此，将周期稳定度明确为流量计特征系数是否允许进行调整的判断条件，在检定结果的处理中给出了操作要求。</w:t>
      </w:r>
    </w:p>
    <w:p w14:paraId="0671D41C">
      <w:pPr>
        <w:pStyle w:val="20"/>
        <w:ind w:firstLine="480"/>
        <w:rPr>
          <w:rFonts w:hint="eastAsia" w:cstheme="minorBidi"/>
          <w:color w:val="auto"/>
        </w:rPr>
      </w:pPr>
      <w:r>
        <w:rPr>
          <w:rFonts w:hint="eastAsia" w:cstheme="minorBidi"/>
          <w:color w:val="auto"/>
        </w:rPr>
        <w:t>7. 完善通用技术要求</w:t>
      </w:r>
    </w:p>
    <w:p w14:paraId="2DF4B6D0">
      <w:pPr>
        <w:pStyle w:val="20"/>
        <w:ind w:firstLine="480"/>
        <w:rPr>
          <w:rFonts w:hint="eastAsia" w:cstheme="minorBidi"/>
          <w:color w:val="auto"/>
        </w:rPr>
      </w:pPr>
      <w:r>
        <w:rPr>
          <w:rFonts w:hint="eastAsia" w:cstheme="minorBidi"/>
          <w:color w:val="auto"/>
        </w:rPr>
        <w:t>补充了铭牌标识内容，增加了特种设备生产许可证、CPA标志等法制管理标识要求，使通用技术要求更加全面，与现行法制管理要求保持一致。</w:t>
      </w:r>
    </w:p>
    <w:p w14:paraId="5206CB6B">
      <w:pPr>
        <w:pStyle w:val="20"/>
        <w:ind w:firstLine="480"/>
        <w:rPr>
          <w:rFonts w:hint="eastAsia" w:cstheme="minorBidi"/>
          <w:color w:val="auto"/>
        </w:rPr>
      </w:pPr>
      <w:r>
        <w:rPr>
          <w:rFonts w:hint="eastAsia" w:cstheme="minorBidi"/>
          <w:color w:val="auto"/>
        </w:rPr>
        <w:t>8. 细化检定条件要求</w:t>
      </w:r>
    </w:p>
    <w:p w14:paraId="1720C898">
      <w:pPr>
        <w:pStyle w:val="20"/>
        <w:ind w:firstLine="480"/>
        <w:rPr>
          <w:rFonts w:hint="eastAsia" w:cstheme="minorBidi"/>
          <w:color w:val="auto"/>
        </w:rPr>
      </w:pPr>
      <w:r>
        <w:rPr>
          <w:rFonts w:hint="eastAsia" w:cstheme="minorBidi"/>
          <w:color w:val="auto"/>
        </w:rPr>
        <w:t>明确了检定用液体的电导率范围（不低于5μS/cm），增加了流量标准装置最高检定流速要求（不低于5m/s）及DN300以上大口径流量计例外条款，使检定条件更加明确具体，便于实际操作。</w:t>
      </w:r>
    </w:p>
    <w:p w14:paraId="0FF8C24D">
      <w:pPr>
        <w:pStyle w:val="20"/>
        <w:ind w:firstLine="480"/>
        <w:rPr>
          <w:rFonts w:hint="eastAsia" w:cstheme="minorBidi"/>
          <w:color w:val="auto"/>
        </w:rPr>
      </w:pPr>
      <w:r>
        <w:rPr>
          <w:rFonts w:hint="eastAsia" w:cstheme="minorBidi"/>
          <w:color w:val="auto"/>
        </w:rPr>
        <w:t>9. 优化检定流量点设置</w:t>
      </w:r>
    </w:p>
    <w:p w14:paraId="6EF96056">
      <w:pPr>
        <w:pStyle w:val="20"/>
        <w:ind w:firstLine="480"/>
        <w:rPr>
          <w:rFonts w:hint="eastAsia" w:cstheme="minorBidi"/>
          <w:color w:val="auto"/>
        </w:rPr>
      </w:pPr>
      <w:r>
        <w:rPr>
          <w:rFonts w:hint="eastAsia" w:cstheme="minorBidi"/>
          <w:color w:val="auto"/>
        </w:rPr>
        <w:t>增加了DN300及以上大口径流量计简化检定流量点的规定，在满足检定量程比要求的前提下，可适当减少检定流量点，提高大口径流量计的检定效率；补充了作为标准表使用的电磁流量计的检定要求，与JJG 643-2024《标准表法流量标准装置》协调一致。</w:t>
      </w:r>
    </w:p>
    <w:p w14:paraId="3E7C1906">
      <w:pPr>
        <w:pStyle w:val="20"/>
        <w:ind w:firstLine="480"/>
        <w:rPr>
          <w:rFonts w:hint="eastAsia" w:cstheme="minorBidi"/>
          <w:color w:val="auto"/>
        </w:rPr>
      </w:pPr>
      <w:r>
        <w:rPr>
          <w:rFonts w:hint="eastAsia" w:cstheme="minorBidi"/>
          <w:color w:val="auto"/>
        </w:rPr>
        <w:t>10. 完善示值误差计算方法</w:t>
      </w:r>
    </w:p>
    <w:p w14:paraId="6EAB5143">
      <w:pPr>
        <w:pStyle w:val="20"/>
        <w:ind w:firstLine="480"/>
        <w:rPr>
          <w:rFonts w:hint="eastAsia" w:cstheme="minorBidi"/>
          <w:color w:val="auto"/>
        </w:rPr>
      </w:pPr>
      <w:r>
        <w:rPr>
          <w:rFonts w:hint="eastAsia" w:cstheme="minorBidi"/>
          <w:color w:val="auto"/>
        </w:rPr>
        <w:t>补充了温度、压力差异较小时的简化计算条件，当标准器和流量计处的液体温度差小于5℃，且压力差小于0.1MPa时，可简化计算，提高检定效率；细化了浮力修正及空气密度计算方法，使计算更加准确规范。</w:t>
      </w:r>
    </w:p>
    <w:p w14:paraId="26593DA1">
      <w:pPr>
        <w:pStyle w:val="20"/>
        <w:ind w:firstLine="480"/>
        <w:rPr>
          <w:rFonts w:hint="eastAsia" w:cstheme="minorBidi"/>
          <w:color w:val="auto"/>
        </w:rPr>
      </w:pPr>
      <w:r>
        <w:rPr>
          <w:rFonts w:hint="eastAsia" w:cstheme="minorBidi"/>
          <w:color w:val="auto"/>
        </w:rPr>
        <w:t>11. 新增周期稳定度的检定方法与计算公式</w:t>
      </w:r>
    </w:p>
    <w:p w14:paraId="6EDAA407">
      <w:pPr>
        <w:pStyle w:val="20"/>
        <w:ind w:firstLine="480"/>
        <w:rPr>
          <w:rFonts w:hint="eastAsia" w:cstheme="minorBidi"/>
          <w:color w:val="auto"/>
        </w:rPr>
      </w:pPr>
      <w:r>
        <w:rPr>
          <w:rFonts w:hint="eastAsia" w:cstheme="minorBidi"/>
          <w:color w:val="auto"/>
        </w:rPr>
        <w:t>明确了周期稳定度的评定方法和计算公式，为周期稳定度的检定提供了技术依据。</w:t>
      </w:r>
    </w:p>
    <w:p w14:paraId="44A1B514">
      <w:pPr>
        <w:pStyle w:val="20"/>
        <w:ind w:firstLine="480"/>
        <w:rPr>
          <w:rFonts w:hint="eastAsia" w:cstheme="minorBidi"/>
          <w:color w:val="auto"/>
        </w:rPr>
      </w:pPr>
      <w:r>
        <w:rPr>
          <w:rFonts w:hint="eastAsia" w:cstheme="minorBidi"/>
          <w:color w:val="auto"/>
        </w:rPr>
        <w:t>12. 调整检定周期规定</w:t>
      </w:r>
    </w:p>
    <w:p w14:paraId="1F068E26">
      <w:pPr>
        <w:pStyle w:val="20"/>
        <w:ind w:firstLine="480"/>
        <w:rPr>
          <w:rFonts w:hint="eastAsia" w:cstheme="minorBidi"/>
          <w:color w:val="auto"/>
        </w:rPr>
      </w:pPr>
      <w:r>
        <w:rPr>
          <w:rFonts w:hint="eastAsia" w:cstheme="minorBidi"/>
          <w:color w:val="auto"/>
        </w:rPr>
        <w:t>明确经修理或调整流量计特征系数合格的流量计，本次检定周期缩短为原周期的一半。这样规定主要是考虑到调整后的流量计其稳定性需要进一步验证，缩短检定周期有利于保证量值准确可靠。</w:t>
      </w:r>
    </w:p>
    <w:p w14:paraId="0F656FA6">
      <w:pPr>
        <w:pStyle w:val="20"/>
        <w:ind w:firstLine="480"/>
        <w:rPr>
          <w:rFonts w:hint="eastAsia" w:cstheme="minorBidi"/>
          <w:color w:val="auto"/>
        </w:rPr>
      </w:pPr>
      <w:r>
        <w:rPr>
          <w:rFonts w:hint="eastAsia" w:cstheme="minorBidi"/>
          <w:color w:val="auto"/>
        </w:rPr>
        <w:t>13. 完善检定证书/检定结果通知书内页格式</w:t>
      </w:r>
    </w:p>
    <w:p w14:paraId="6D3F1A55">
      <w:pPr>
        <w:pStyle w:val="20"/>
        <w:ind w:firstLine="480"/>
        <w:rPr>
          <w:rFonts w:hint="eastAsia" w:cstheme="minorBidi"/>
          <w:color w:val="auto"/>
        </w:rPr>
      </w:pPr>
      <w:r>
        <w:rPr>
          <w:rFonts w:hint="eastAsia" w:cstheme="minorBidi"/>
          <w:color w:val="auto"/>
        </w:rPr>
        <w:t>补充了检定流速范围、介质电导率、周期稳定度、全部流量计特征系数等内容，使检定证书信息更加全面，便于用户了解流量计的检定情况和性能参数。</w:t>
      </w:r>
    </w:p>
    <w:p w14:paraId="1CA20299">
      <w:pPr>
        <w:numPr>
          <w:ilvl w:val="0"/>
          <w:numId w:val="0"/>
        </w:numPr>
        <w:spacing w:line="276" w:lineRule="auto"/>
        <w:ind w:leftChars="0" w:firstLine="480" w:firstLineChars="200"/>
        <w:rPr>
          <w:b/>
          <w:color w:val="auto"/>
          <w:sz w:val="24"/>
        </w:rPr>
      </w:pPr>
      <w:r>
        <w:rPr>
          <w:rFonts w:hint="eastAsia"/>
          <w:b/>
          <w:color w:val="auto"/>
          <w:sz w:val="24"/>
          <w:lang w:val="en-US" w:eastAsia="zh-CN"/>
        </w:rPr>
        <w:t>六、</w:t>
      </w:r>
      <w:r>
        <w:rPr>
          <w:rFonts w:hint="eastAsia"/>
          <w:b/>
          <w:color w:val="auto"/>
          <w:sz w:val="24"/>
        </w:rPr>
        <w:t>知识产权说明（涉及专利的情况声明）</w:t>
      </w:r>
    </w:p>
    <w:p w14:paraId="0E4A694C">
      <w:pPr>
        <w:ind w:firstLine="564" w:firstLineChars="235"/>
        <w:rPr>
          <w:rFonts w:hint="eastAsia" w:ascii="宋体" w:hAnsi="宋体"/>
          <w:color w:val="auto"/>
          <w:sz w:val="24"/>
        </w:rPr>
      </w:pPr>
      <w:r>
        <w:rPr>
          <w:rFonts w:hint="eastAsia" w:ascii="宋体" w:hAnsi="宋体"/>
          <w:color w:val="auto"/>
          <w:sz w:val="24"/>
        </w:rPr>
        <w:t>本文件不涉及专利问题。</w:t>
      </w:r>
    </w:p>
    <w:p w14:paraId="57B6478C">
      <w:pPr>
        <w:numPr>
          <w:ilvl w:val="0"/>
          <w:numId w:val="0"/>
        </w:numPr>
        <w:ind w:leftChars="0" w:firstLine="480" w:firstLineChars="200"/>
        <w:rPr>
          <w:b/>
          <w:color w:val="auto"/>
          <w:sz w:val="24"/>
        </w:rPr>
      </w:pPr>
      <w:r>
        <w:rPr>
          <w:rFonts w:hint="eastAsia"/>
          <w:b/>
          <w:color w:val="auto"/>
          <w:sz w:val="24"/>
          <w:lang w:val="en-US" w:eastAsia="zh-CN"/>
        </w:rPr>
        <w:t>七、</w:t>
      </w:r>
      <w:r>
        <w:rPr>
          <w:rFonts w:hint="eastAsia"/>
          <w:b/>
          <w:color w:val="auto"/>
          <w:sz w:val="24"/>
        </w:rPr>
        <w:t>重大分歧意见的处理经过和依据</w:t>
      </w:r>
    </w:p>
    <w:p w14:paraId="06E3B5E2">
      <w:pPr>
        <w:spacing w:line="276" w:lineRule="auto"/>
        <w:ind w:firstLine="480" w:firstLineChars="200"/>
        <w:rPr>
          <w:rFonts w:hint="eastAsia" w:ascii="宋体" w:hAnsi="宋体"/>
          <w:bCs/>
          <w:color w:val="auto"/>
          <w:sz w:val="24"/>
        </w:rPr>
      </w:pPr>
      <w:r>
        <w:rPr>
          <w:rFonts w:hint="eastAsia" w:ascii="宋体" w:hAnsi="宋体"/>
          <w:bCs/>
          <w:color w:val="auto"/>
          <w:sz w:val="24"/>
        </w:rPr>
        <w:t>无。除了个别名词、性能指标、内容的增加上有过争论</w:t>
      </w:r>
      <w:r>
        <w:rPr>
          <w:rFonts w:hint="eastAsia" w:ascii="宋体" w:hAnsi="宋体"/>
          <w:bCs/>
          <w:color w:val="auto"/>
          <w:sz w:val="24"/>
          <w:lang w:eastAsia="zh-CN"/>
        </w:rPr>
        <w:t>，</w:t>
      </w:r>
      <w:r>
        <w:rPr>
          <w:rFonts w:hint="eastAsia" w:ascii="宋体" w:hAnsi="宋体"/>
          <w:bCs/>
          <w:color w:val="auto"/>
          <w:sz w:val="24"/>
        </w:rPr>
        <w:t>最后能够统一认识，起草过程中无重大意见分歧。</w:t>
      </w:r>
    </w:p>
    <w:p w14:paraId="68C5416B">
      <w:pPr>
        <w:wordWrap w:val="0"/>
        <w:spacing w:line="276" w:lineRule="auto"/>
        <w:ind w:firstLine="2880" w:firstLineChars="1200"/>
        <w:jc w:val="right"/>
        <w:rPr>
          <w:rFonts w:hint="eastAsia" w:ascii="宋体" w:hAnsi="宋体"/>
          <w:b/>
          <w:bCs/>
          <w:color w:val="auto"/>
          <w:sz w:val="24"/>
        </w:rPr>
      </w:pPr>
      <w:r>
        <w:rPr>
          <w:rFonts w:ascii="宋体" w:hAnsi="宋体"/>
          <w:b/>
          <w:bCs/>
          <w:color w:val="auto"/>
          <w:sz w:val="24"/>
        </w:rPr>
        <w:t>规程起草组</w:t>
      </w:r>
      <w:r>
        <w:rPr>
          <w:rFonts w:hint="eastAsia" w:ascii="宋体" w:hAnsi="宋体"/>
          <w:b/>
          <w:bCs/>
          <w:color w:val="auto"/>
          <w:sz w:val="24"/>
        </w:rPr>
        <w:t xml:space="preserve">      </w:t>
      </w:r>
    </w:p>
    <w:p w14:paraId="726B870D">
      <w:pPr>
        <w:wordWrap w:val="0"/>
        <w:spacing w:line="276" w:lineRule="auto"/>
        <w:ind w:firstLine="2880" w:firstLineChars="1200"/>
        <w:jc w:val="right"/>
        <w:rPr>
          <w:rFonts w:hint="eastAsia" w:ascii="宋体" w:hAnsi="宋体"/>
          <w:b/>
          <w:bCs/>
          <w:color w:val="auto"/>
          <w:sz w:val="24"/>
        </w:rPr>
      </w:pPr>
      <w:r>
        <w:rPr>
          <w:rFonts w:ascii="宋体" w:hAnsi="宋体"/>
          <w:b/>
          <w:bCs/>
          <w:color w:val="auto"/>
          <w:sz w:val="24"/>
        </w:rPr>
        <w:t xml:space="preserve"> </w:t>
      </w:r>
      <w:r>
        <w:rPr>
          <w:rFonts w:hint="eastAsia" w:ascii="宋体" w:hAnsi="宋体"/>
          <w:b/>
          <w:bCs/>
          <w:color w:val="auto"/>
          <w:sz w:val="24"/>
        </w:rPr>
        <w:t>2</w:t>
      </w:r>
      <w:r>
        <w:rPr>
          <w:rFonts w:ascii="宋体" w:hAnsi="宋体"/>
          <w:b/>
          <w:bCs/>
          <w:color w:val="auto"/>
          <w:sz w:val="24"/>
        </w:rPr>
        <w:t>02</w:t>
      </w:r>
      <w:r>
        <w:rPr>
          <w:rFonts w:hint="eastAsia" w:ascii="宋体" w:hAnsi="宋体"/>
          <w:b/>
          <w:bCs/>
          <w:color w:val="auto"/>
          <w:sz w:val="24"/>
          <w:lang w:val="en-US" w:eastAsia="zh-CN"/>
        </w:rPr>
        <w:t>6</w:t>
      </w:r>
      <w:r>
        <w:rPr>
          <w:rFonts w:ascii="宋体" w:hAnsi="宋体"/>
          <w:b/>
          <w:bCs/>
          <w:color w:val="auto"/>
          <w:sz w:val="24"/>
        </w:rPr>
        <w:t>年</w:t>
      </w:r>
      <w:r>
        <w:rPr>
          <w:rFonts w:hint="eastAsia" w:ascii="宋体" w:hAnsi="宋体"/>
          <w:b/>
          <w:bCs/>
          <w:color w:val="auto"/>
          <w:sz w:val="24"/>
          <w:lang w:val="en-US" w:eastAsia="zh-CN"/>
        </w:rPr>
        <w:t>7</w:t>
      </w:r>
      <w:r>
        <w:rPr>
          <w:rFonts w:ascii="宋体" w:hAnsi="宋体"/>
          <w:b/>
          <w:bCs/>
          <w:color w:val="auto"/>
          <w:sz w:val="24"/>
        </w:rPr>
        <w:t>月</w:t>
      </w:r>
      <w:r>
        <w:rPr>
          <w:rFonts w:hint="eastAsia" w:ascii="宋体" w:hAnsi="宋体"/>
          <w:b/>
          <w:bCs/>
          <w:color w:val="auto"/>
          <w:sz w:val="24"/>
          <w:lang w:val="en-US" w:eastAsia="zh-CN"/>
        </w:rPr>
        <w:t>7</w:t>
      </w:r>
      <w:r>
        <w:rPr>
          <w:rFonts w:ascii="宋体" w:hAnsi="宋体"/>
          <w:b/>
          <w:bCs/>
          <w:color w:val="auto"/>
          <w:sz w:val="24"/>
        </w:rPr>
        <w:t>日</w:t>
      </w:r>
      <w:r>
        <w:rPr>
          <w:rFonts w:hint="eastAsia" w:ascii="宋体" w:hAnsi="宋体"/>
          <w:b/>
          <w:bCs/>
          <w:color w:val="auto"/>
          <w:sz w:val="24"/>
        </w:rPr>
        <w:t xml:space="preserve">   </w:t>
      </w:r>
    </w:p>
    <w:sectPr>
      <w:headerReference r:id="rId7" w:type="default"/>
      <w:pgSz w:w="11906" w:h="16838"/>
      <w:pgMar w:top="1440" w:right="1468" w:bottom="1088" w:left="1803" w:header="851" w:footer="624" w:gutter="0"/>
      <w:pgNumType w:start="1"/>
      <w:cols w:space="425" w:num="1"/>
      <w:docGrid w:type="linesAndChars" w:linePitch="46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C544C">
    <w:pPr>
      <w:pStyle w:val="12"/>
      <w:jc w:val="center"/>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133985</wp:posOffset>
              </wp:positionV>
              <wp:extent cx="208915" cy="1828800"/>
              <wp:effectExtent l="0" t="0" r="635" b="14605"/>
              <wp:wrapNone/>
              <wp:docPr id="1" name="文本框 1"/>
              <wp:cNvGraphicFramePr/>
              <a:graphic xmlns:a="http://schemas.openxmlformats.org/drawingml/2006/main">
                <a:graphicData uri="http://schemas.microsoft.com/office/word/2010/wordprocessingShape">
                  <wps:wsp>
                    <wps:cNvSpPr txBox="1"/>
                    <wps:spPr>
                      <a:xfrm>
                        <a:off x="0" y="0"/>
                        <a:ext cx="20891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B4F754">
                          <w:pPr>
                            <w:pStyle w:val="12"/>
                            <w:jc w:val="cente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0.55pt;height:144pt;width:16.45pt;mso-position-horizontal:center;mso-position-horizontal-relative:margin;z-index:251659264;mso-width-relative:page;mso-height-relative:page;" filled="f" stroked="f" coordsize="21600,21600" o:gfxdata="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U1oNUAAAAGAQAADwAAAAAAAAABACAAAAAiAAAAZHJzL2Rvd25yZXYueG1sUEsB&#10;AhQAFAAAAAgAh07iQBuNpCgxAgAAVgQAAA4AAAAAAAAAAQAgAAAAJAEAAGRycy9lMm9Eb2MueG1s&#10;UEsFBgAAAAAGAAYAWQEAAMcFAAAAAA==&#10;">
              <v:fill on="f" focussize="0,0"/>
              <v:stroke on="f" weight="0.5pt"/>
              <v:imagedata o:title=""/>
              <o:lock v:ext="edit" aspectratio="f"/>
              <v:textbox inset="0mm,0mm,0mm,0mm" style="mso-fit-shape-to-text:t;">
                <w:txbxContent>
                  <w:p w14:paraId="72B4F754">
                    <w:pPr>
                      <w:pStyle w:val="12"/>
                      <w:jc w:val="center"/>
                    </w:pPr>
                    <w:r>
                      <w:fldChar w:fldCharType="begin"/>
                    </w:r>
                    <w:r>
                      <w:instrText xml:space="preserve"> PAGE   \* MERGEFORMAT </w:instrText>
                    </w:r>
                    <w:r>
                      <w:fldChar w:fldCharType="separate"/>
                    </w:r>
                    <w:r>
                      <w:t>5</w:t>
                    </w:r>
                    <w:r>
                      <w:fldChar w:fldCharType="end"/>
                    </w:r>
                  </w:p>
                </w:txbxContent>
              </v:textbox>
            </v:shape>
          </w:pict>
        </mc:Fallback>
      </mc:AlternateContent>
    </w:r>
  </w:p>
  <w:p w14:paraId="40EAE68A">
    <w:pPr>
      <w:pStyle w:val="12"/>
      <w:jc w:val="center"/>
    </w:pPr>
  </w:p>
  <w:p w14:paraId="0E9B0A96">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2CA92">
    <w:pPr>
      <w:pStyle w:val="12"/>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5</w:t>
    </w:r>
    <w:r>
      <w:rPr>
        <w:rStyle w:val="17"/>
      </w:rPr>
      <w:fldChar w:fldCharType="end"/>
    </w:r>
  </w:p>
  <w:p w14:paraId="11520042">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9C300">
    <w:pPr>
      <w:pStyle w:val="1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133985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7890F">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0.55pt;height:144pt;width:144pt;mso-position-horizontal:center;mso-position-horizontal-relative:margin;mso-wrap-style:none;z-index:251660288;mso-width-relative:page;mso-height-relative:page;" filled="f" stroked="f" coordsize="21600,21600" o:gfxdata="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POM351AAAAAcBAAAPAAAAAAAAAAEAIAAAACIAAABkcnMvZG93bnJldi54bWxQSwECFAAUAAAA&#10;CACHTuJABWGMPysCAABVBAAADgAAAAAAAAABACAAAAAjAQAAZHJzL2Uyb0RvYy54bWxQSwUGAAAA&#10;AAYABgBZAQAAwAUAAAAA&#10;">
              <v:fill on="f" focussize="0,0"/>
              <v:stroke on="f" weight="0.5pt"/>
              <v:imagedata o:title=""/>
              <o:lock v:ext="edit" aspectratio="f"/>
              <v:textbox inset="0mm,0mm,0mm,0mm" style="mso-fit-shape-to-text:t;">
                <w:txbxContent>
                  <w:p w14:paraId="5F17890F">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8D14A">
    <w:pPr>
      <w:pStyle w:val="13"/>
      <w:pBdr>
        <w:bottom w:val="none" w:color="auto" w:sz="0" w:space="0"/>
      </w:pBdr>
    </w:pPr>
    <w:r>
      <w:rPr>
        <w:rFonts w:hint="eastAsia"/>
      </w:rPr>
      <w:t>静态质量法液体流量标准装置检定规程编写说明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B6DC5">
    <w:pPr>
      <w:pStyle w:val="13"/>
      <w:pBdr>
        <w:bottom w:val="single" w:color="auto" w:sz="4" w:space="0"/>
      </w:pBdr>
    </w:pPr>
    <w:r>
      <w:rPr>
        <w:rFonts w:hint="eastAsia"/>
        <w:lang w:eastAsia="zh-CN"/>
      </w:rPr>
      <w:t>电磁流量计</w:t>
    </w:r>
    <w:r>
      <w:rPr>
        <w:rFonts w:hint="eastAsia"/>
      </w:rPr>
      <w:t>检定规程编写说明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234"/>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3E7D71"/>
    <w:rsid w:val="00007EE6"/>
    <w:rsid w:val="000162CE"/>
    <w:rsid w:val="00021B5D"/>
    <w:rsid w:val="00022533"/>
    <w:rsid w:val="00026DEA"/>
    <w:rsid w:val="00027C1E"/>
    <w:rsid w:val="000307CB"/>
    <w:rsid w:val="000331F5"/>
    <w:rsid w:val="000333B2"/>
    <w:rsid w:val="00044909"/>
    <w:rsid w:val="00046CAC"/>
    <w:rsid w:val="0005676B"/>
    <w:rsid w:val="00057413"/>
    <w:rsid w:val="00064875"/>
    <w:rsid w:val="00064ECD"/>
    <w:rsid w:val="00077967"/>
    <w:rsid w:val="0008356D"/>
    <w:rsid w:val="000A5E10"/>
    <w:rsid w:val="000B2B7A"/>
    <w:rsid w:val="000B7586"/>
    <w:rsid w:val="000C76AF"/>
    <w:rsid w:val="000D2A31"/>
    <w:rsid w:val="000E1EEE"/>
    <w:rsid w:val="000E3BD3"/>
    <w:rsid w:val="000E5A0A"/>
    <w:rsid w:val="000F0900"/>
    <w:rsid w:val="000F31C7"/>
    <w:rsid w:val="000F4C3F"/>
    <w:rsid w:val="001001E7"/>
    <w:rsid w:val="00116548"/>
    <w:rsid w:val="00127671"/>
    <w:rsid w:val="001333D1"/>
    <w:rsid w:val="001430C5"/>
    <w:rsid w:val="00161DD9"/>
    <w:rsid w:val="00162AA4"/>
    <w:rsid w:val="001661E9"/>
    <w:rsid w:val="00180B6B"/>
    <w:rsid w:val="001A3397"/>
    <w:rsid w:val="001B7CD4"/>
    <w:rsid w:val="001C1147"/>
    <w:rsid w:val="001D03FC"/>
    <w:rsid w:val="001D6386"/>
    <w:rsid w:val="001D66B5"/>
    <w:rsid w:val="001D7708"/>
    <w:rsid w:val="001E0FB2"/>
    <w:rsid w:val="001E30EC"/>
    <w:rsid w:val="001F418C"/>
    <w:rsid w:val="001F74F3"/>
    <w:rsid w:val="002016B8"/>
    <w:rsid w:val="002102E4"/>
    <w:rsid w:val="00217C77"/>
    <w:rsid w:val="00227890"/>
    <w:rsid w:val="00234FCC"/>
    <w:rsid w:val="00244DAA"/>
    <w:rsid w:val="00245359"/>
    <w:rsid w:val="00256704"/>
    <w:rsid w:val="002611CF"/>
    <w:rsid w:val="00264428"/>
    <w:rsid w:val="00266D24"/>
    <w:rsid w:val="002702D6"/>
    <w:rsid w:val="00270572"/>
    <w:rsid w:val="00274DB5"/>
    <w:rsid w:val="00286143"/>
    <w:rsid w:val="00290D67"/>
    <w:rsid w:val="002A7AA5"/>
    <w:rsid w:val="002B23BF"/>
    <w:rsid w:val="002B2EEC"/>
    <w:rsid w:val="002B62A5"/>
    <w:rsid w:val="002C0594"/>
    <w:rsid w:val="002D2341"/>
    <w:rsid w:val="002D6B27"/>
    <w:rsid w:val="002D6E6B"/>
    <w:rsid w:val="002E4098"/>
    <w:rsid w:val="002E4B9D"/>
    <w:rsid w:val="002F4312"/>
    <w:rsid w:val="002F46B8"/>
    <w:rsid w:val="00301B5D"/>
    <w:rsid w:val="00302243"/>
    <w:rsid w:val="003047F0"/>
    <w:rsid w:val="00304B6C"/>
    <w:rsid w:val="00311F23"/>
    <w:rsid w:val="0032401B"/>
    <w:rsid w:val="00327E6B"/>
    <w:rsid w:val="00330636"/>
    <w:rsid w:val="003341C4"/>
    <w:rsid w:val="00340ED3"/>
    <w:rsid w:val="00341546"/>
    <w:rsid w:val="00341F80"/>
    <w:rsid w:val="003451D9"/>
    <w:rsid w:val="00346FAA"/>
    <w:rsid w:val="0035267A"/>
    <w:rsid w:val="00362E62"/>
    <w:rsid w:val="003639D5"/>
    <w:rsid w:val="0037089D"/>
    <w:rsid w:val="003728CB"/>
    <w:rsid w:val="0037439D"/>
    <w:rsid w:val="00374404"/>
    <w:rsid w:val="0038642D"/>
    <w:rsid w:val="00392F06"/>
    <w:rsid w:val="00396A5C"/>
    <w:rsid w:val="003A0045"/>
    <w:rsid w:val="003A163B"/>
    <w:rsid w:val="003A2C63"/>
    <w:rsid w:val="003A39EE"/>
    <w:rsid w:val="003A5071"/>
    <w:rsid w:val="003A5C27"/>
    <w:rsid w:val="003B019C"/>
    <w:rsid w:val="003B2147"/>
    <w:rsid w:val="003B7D64"/>
    <w:rsid w:val="003C66E8"/>
    <w:rsid w:val="003C7156"/>
    <w:rsid w:val="003E7D71"/>
    <w:rsid w:val="003F0931"/>
    <w:rsid w:val="003F0BC9"/>
    <w:rsid w:val="003F128B"/>
    <w:rsid w:val="003F2860"/>
    <w:rsid w:val="004052E4"/>
    <w:rsid w:val="00406862"/>
    <w:rsid w:val="0041396F"/>
    <w:rsid w:val="00416B34"/>
    <w:rsid w:val="004256BE"/>
    <w:rsid w:val="004310A9"/>
    <w:rsid w:val="00431EF8"/>
    <w:rsid w:val="004328C5"/>
    <w:rsid w:val="0043335E"/>
    <w:rsid w:val="00441B3D"/>
    <w:rsid w:val="00446346"/>
    <w:rsid w:val="00447554"/>
    <w:rsid w:val="004509B7"/>
    <w:rsid w:val="00450E2B"/>
    <w:rsid w:val="00450F88"/>
    <w:rsid w:val="004668D6"/>
    <w:rsid w:val="004669F9"/>
    <w:rsid w:val="00473DF2"/>
    <w:rsid w:val="0047401A"/>
    <w:rsid w:val="004822DC"/>
    <w:rsid w:val="004845C4"/>
    <w:rsid w:val="0049302E"/>
    <w:rsid w:val="004A0728"/>
    <w:rsid w:val="004A3326"/>
    <w:rsid w:val="004A39DB"/>
    <w:rsid w:val="004A7833"/>
    <w:rsid w:val="004B296F"/>
    <w:rsid w:val="004B7F3E"/>
    <w:rsid w:val="004C70AB"/>
    <w:rsid w:val="004D36B8"/>
    <w:rsid w:val="004D57F5"/>
    <w:rsid w:val="004F46FC"/>
    <w:rsid w:val="00500CF1"/>
    <w:rsid w:val="0050336B"/>
    <w:rsid w:val="0050524F"/>
    <w:rsid w:val="005059EF"/>
    <w:rsid w:val="00520A98"/>
    <w:rsid w:val="005245CA"/>
    <w:rsid w:val="005253B7"/>
    <w:rsid w:val="00525568"/>
    <w:rsid w:val="00530515"/>
    <w:rsid w:val="005324ED"/>
    <w:rsid w:val="0053700C"/>
    <w:rsid w:val="0054529A"/>
    <w:rsid w:val="00551270"/>
    <w:rsid w:val="00552180"/>
    <w:rsid w:val="0056457D"/>
    <w:rsid w:val="005704C7"/>
    <w:rsid w:val="00577756"/>
    <w:rsid w:val="0058415F"/>
    <w:rsid w:val="00587841"/>
    <w:rsid w:val="005941AB"/>
    <w:rsid w:val="005B013A"/>
    <w:rsid w:val="005B7257"/>
    <w:rsid w:val="005D12C2"/>
    <w:rsid w:val="005E07F5"/>
    <w:rsid w:val="005E0A3E"/>
    <w:rsid w:val="005E6AE8"/>
    <w:rsid w:val="005F03C5"/>
    <w:rsid w:val="005F223D"/>
    <w:rsid w:val="005F2F60"/>
    <w:rsid w:val="005F48D3"/>
    <w:rsid w:val="006044DF"/>
    <w:rsid w:val="00607333"/>
    <w:rsid w:val="006143D7"/>
    <w:rsid w:val="00624A50"/>
    <w:rsid w:val="00630FA9"/>
    <w:rsid w:val="00644422"/>
    <w:rsid w:val="00650C14"/>
    <w:rsid w:val="00660A58"/>
    <w:rsid w:val="0066425C"/>
    <w:rsid w:val="00680F85"/>
    <w:rsid w:val="006819F8"/>
    <w:rsid w:val="00684D26"/>
    <w:rsid w:val="0068532B"/>
    <w:rsid w:val="00697A4D"/>
    <w:rsid w:val="006A6AB2"/>
    <w:rsid w:val="006A7CBB"/>
    <w:rsid w:val="006B1F9C"/>
    <w:rsid w:val="006B22DB"/>
    <w:rsid w:val="006B50C8"/>
    <w:rsid w:val="006B6A2B"/>
    <w:rsid w:val="006B7685"/>
    <w:rsid w:val="006C325D"/>
    <w:rsid w:val="006C49D6"/>
    <w:rsid w:val="006D0AF2"/>
    <w:rsid w:val="006D55DC"/>
    <w:rsid w:val="006E2EB8"/>
    <w:rsid w:val="006E5186"/>
    <w:rsid w:val="006F00FC"/>
    <w:rsid w:val="006F0EBF"/>
    <w:rsid w:val="006F10C6"/>
    <w:rsid w:val="00705387"/>
    <w:rsid w:val="00705446"/>
    <w:rsid w:val="0071221E"/>
    <w:rsid w:val="007231DE"/>
    <w:rsid w:val="00725806"/>
    <w:rsid w:val="00726A23"/>
    <w:rsid w:val="0073221D"/>
    <w:rsid w:val="0073567D"/>
    <w:rsid w:val="00743A85"/>
    <w:rsid w:val="00756682"/>
    <w:rsid w:val="00765803"/>
    <w:rsid w:val="007721AB"/>
    <w:rsid w:val="0077447A"/>
    <w:rsid w:val="007772F2"/>
    <w:rsid w:val="00781D19"/>
    <w:rsid w:val="00794CFF"/>
    <w:rsid w:val="007A3F41"/>
    <w:rsid w:val="007A6BB7"/>
    <w:rsid w:val="007B1B54"/>
    <w:rsid w:val="007B4833"/>
    <w:rsid w:val="007C007D"/>
    <w:rsid w:val="007C781B"/>
    <w:rsid w:val="007D2666"/>
    <w:rsid w:val="007D33A4"/>
    <w:rsid w:val="007D6445"/>
    <w:rsid w:val="007F45E8"/>
    <w:rsid w:val="00806125"/>
    <w:rsid w:val="0081067A"/>
    <w:rsid w:val="00820F24"/>
    <w:rsid w:val="00822C59"/>
    <w:rsid w:val="00831D85"/>
    <w:rsid w:val="008320BA"/>
    <w:rsid w:val="0083378E"/>
    <w:rsid w:val="00837DDC"/>
    <w:rsid w:val="008410CD"/>
    <w:rsid w:val="00842661"/>
    <w:rsid w:val="00843CE1"/>
    <w:rsid w:val="00850ACE"/>
    <w:rsid w:val="00866B09"/>
    <w:rsid w:val="0087177E"/>
    <w:rsid w:val="00873F5E"/>
    <w:rsid w:val="008835A9"/>
    <w:rsid w:val="00883F81"/>
    <w:rsid w:val="008857CD"/>
    <w:rsid w:val="008868AB"/>
    <w:rsid w:val="00886D2A"/>
    <w:rsid w:val="008A2202"/>
    <w:rsid w:val="008B432B"/>
    <w:rsid w:val="008B6BFB"/>
    <w:rsid w:val="008B6ECA"/>
    <w:rsid w:val="008B77B3"/>
    <w:rsid w:val="008D3880"/>
    <w:rsid w:val="008D6BAD"/>
    <w:rsid w:val="008D6FC7"/>
    <w:rsid w:val="008E0CD5"/>
    <w:rsid w:val="008E2643"/>
    <w:rsid w:val="008E540C"/>
    <w:rsid w:val="008F3B17"/>
    <w:rsid w:val="008F531C"/>
    <w:rsid w:val="008F6FC2"/>
    <w:rsid w:val="009256B6"/>
    <w:rsid w:val="00927EE2"/>
    <w:rsid w:val="0093496E"/>
    <w:rsid w:val="00943FCF"/>
    <w:rsid w:val="00944479"/>
    <w:rsid w:val="0096126A"/>
    <w:rsid w:val="009614FE"/>
    <w:rsid w:val="009666D5"/>
    <w:rsid w:val="009672EA"/>
    <w:rsid w:val="0097004A"/>
    <w:rsid w:val="00973681"/>
    <w:rsid w:val="00974E6E"/>
    <w:rsid w:val="009757DB"/>
    <w:rsid w:val="00975C90"/>
    <w:rsid w:val="009762AD"/>
    <w:rsid w:val="0098018E"/>
    <w:rsid w:val="009804CA"/>
    <w:rsid w:val="00982D4E"/>
    <w:rsid w:val="00985975"/>
    <w:rsid w:val="009B15D2"/>
    <w:rsid w:val="009B5841"/>
    <w:rsid w:val="009C0934"/>
    <w:rsid w:val="009C22A6"/>
    <w:rsid w:val="009C5BE3"/>
    <w:rsid w:val="009C618D"/>
    <w:rsid w:val="009C668E"/>
    <w:rsid w:val="009C7EC3"/>
    <w:rsid w:val="009D17B6"/>
    <w:rsid w:val="009E08EA"/>
    <w:rsid w:val="009E3354"/>
    <w:rsid w:val="009F3CBD"/>
    <w:rsid w:val="00A15A6A"/>
    <w:rsid w:val="00A2122E"/>
    <w:rsid w:val="00A2348F"/>
    <w:rsid w:val="00A354C1"/>
    <w:rsid w:val="00A416D8"/>
    <w:rsid w:val="00A46E63"/>
    <w:rsid w:val="00A502ED"/>
    <w:rsid w:val="00A56C74"/>
    <w:rsid w:val="00A570F3"/>
    <w:rsid w:val="00A579CE"/>
    <w:rsid w:val="00A64E8F"/>
    <w:rsid w:val="00A6508B"/>
    <w:rsid w:val="00A662B9"/>
    <w:rsid w:val="00A66C1E"/>
    <w:rsid w:val="00A67BBB"/>
    <w:rsid w:val="00A71C73"/>
    <w:rsid w:val="00A735B6"/>
    <w:rsid w:val="00A73CC4"/>
    <w:rsid w:val="00A75277"/>
    <w:rsid w:val="00A765E7"/>
    <w:rsid w:val="00A8040D"/>
    <w:rsid w:val="00A868B4"/>
    <w:rsid w:val="00A90B59"/>
    <w:rsid w:val="00A91D80"/>
    <w:rsid w:val="00A963BC"/>
    <w:rsid w:val="00AA0AFF"/>
    <w:rsid w:val="00AA26CA"/>
    <w:rsid w:val="00AA3699"/>
    <w:rsid w:val="00AA7C66"/>
    <w:rsid w:val="00AB109C"/>
    <w:rsid w:val="00AB38E0"/>
    <w:rsid w:val="00AB7F0D"/>
    <w:rsid w:val="00AD3B5A"/>
    <w:rsid w:val="00AD3D69"/>
    <w:rsid w:val="00AD795A"/>
    <w:rsid w:val="00AE6342"/>
    <w:rsid w:val="00AF5086"/>
    <w:rsid w:val="00AF5D64"/>
    <w:rsid w:val="00B00C8D"/>
    <w:rsid w:val="00B065DB"/>
    <w:rsid w:val="00B14BBD"/>
    <w:rsid w:val="00B24DB9"/>
    <w:rsid w:val="00B361FE"/>
    <w:rsid w:val="00B420C2"/>
    <w:rsid w:val="00B5452E"/>
    <w:rsid w:val="00B6110F"/>
    <w:rsid w:val="00B614C4"/>
    <w:rsid w:val="00B6521C"/>
    <w:rsid w:val="00B7687D"/>
    <w:rsid w:val="00B82800"/>
    <w:rsid w:val="00B94AF5"/>
    <w:rsid w:val="00B954F2"/>
    <w:rsid w:val="00BA42A7"/>
    <w:rsid w:val="00BA4E77"/>
    <w:rsid w:val="00BB18C8"/>
    <w:rsid w:val="00BB1D59"/>
    <w:rsid w:val="00BB6C3A"/>
    <w:rsid w:val="00BB6E14"/>
    <w:rsid w:val="00BC150F"/>
    <w:rsid w:val="00BC2AC2"/>
    <w:rsid w:val="00BC2AEE"/>
    <w:rsid w:val="00BC7760"/>
    <w:rsid w:val="00BD27E4"/>
    <w:rsid w:val="00BE35DA"/>
    <w:rsid w:val="00BE421F"/>
    <w:rsid w:val="00BE4856"/>
    <w:rsid w:val="00BF35EB"/>
    <w:rsid w:val="00C0241B"/>
    <w:rsid w:val="00C045BD"/>
    <w:rsid w:val="00C04AA8"/>
    <w:rsid w:val="00C05D23"/>
    <w:rsid w:val="00C05FE4"/>
    <w:rsid w:val="00C063FC"/>
    <w:rsid w:val="00C146D4"/>
    <w:rsid w:val="00C23C14"/>
    <w:rsid w:val="00C315B6"/>
    <w:rsid w:val="00C321AA"/>
    <w:rsid w:val="00C42D3F"/>
    <w:rsid w:val="00C46F29"/>
    <w:rsid w:val="00C6080D"/>
    <w:rsid w:val="00C7074A"/>
    <w:rsid w:val="00C838B0"/>
    <w:rsid w:val="00C864B8"/>
    <w:rsid w:val="00C97D9C"/>
    <w:rsid w:val="00CB3744"/>
    <w:rsid w:val="00CC1A3A"/>
    <w:rsid w:val="00CD192D"/>
    <w:rsid w:val="00CE4196"/>
    <w:rsid w:val="00CF1530"/>
    <w:rsid w:val="00CF19B5"/>
    <w:rsid w:val="00CF3042"/>
    <w:rsid w:val="00D03D6A"/>
    <w:rsid w:val="00D137C0"/>
    <w:rsid w:val="00D13AAF"/>
    <w:rsid w:val="00D14139"/>
    <w:rsid w:val="00D165D1"/>
    <w:rsid w:val="00D2299D"/>
    <w:rsid w:val="00D22EF2"/>
    <w:rsid w:val="00D23C4B"/>
    <w:rsid w:val="00D24F3E"/>
    <w:rsid w:val="00D275F6"/>
    <w:rsid w:val="00D27656"/>
    <w:rsid w:val="00D27C00"/>
    <w:rsid w:val="00D374DF"/>
    <w:rsid w:val="00D4152D"/>
    <w:rsid w:val="00D4463E"/>
    <w:rsid w:val="00D46D16"/>
    <w:rsid w:val="00D501E9"/>
    <w:rsid w:val="00D535DA"/>
    <w:rsid w:val="00D6445A"/>
    <w:rsid w:val="00D64717"/>
    <w:rsid w:val="00D7135B"/>
    <w:rsid w:val="00D73F65"/>
    <w:rsid w:val="00D75174"/>
    <w:rsid w:val="00D832B3"/>
    <w:rsid w:val="00D906C9"/>
    <w:rsid w:val="00D95F4B"/>
    <w:rsid w:val="00DA79EB"/>
    <w:rsid w:val="00DB0F54"/>
    <w:rsid w:val="00DB26E8"/>
    <w:rsid w:val="00DB3578"/>
    <w:rsid w:val="00DC0721"/>
    <w:rsid w:val="00DC2362"/>
    <w:rsid w:val="00DC76F6"/>
    <w:rsid w:val="00DD2A99"/>
    <w:rsid w:val="00DE3311"/>
    <w:rsid w:val="00DE7E4A"/>
    <w:rsid w:val="00DF0392"/>
    <w:rsid w:val="00DF2417"/>
    <w:rsid w:val="00E07E86"/>
    <w:rsid w:val="00E10021"/>
    <w:rsid w:val="00E13BF4"/>
    <w:rsid w:val="00E15371"/>
    <w:rsid w:val="00E20856"/>
    <w:rsid w:val="00E23BF7"/>
    <w:rsid w:val="00E27AB2"/>
    <w:rsid w:val="00E33B88"/>
    <w:rsid w:val="00E35E21"/>
    <w:rsid w:val="00E37E7F"/>
    <w:rsid w:val="00E408F4"/>
    <w:rsid w:val="00E46472"/>
    <w:rsid w:val="00E47258"/>
    <w:rsid w:val="00E47F3D"/>
    <w:rsid w:val="00E50354"/>
    <w:rsid w:val="00E73BD2"/>
    <w:rsid w:val="00E73C5C"/>
    <w:rsid w:val="00E74C2B"/>
    <w:rsid w:val="00E75288"/>
    <w:rsid w:val="00E82D33"/>
    <w:rsid w:val="00E831CE"/>
    <w:rsid w:val="00E8673B"/>
    <w:rsid w:val="00E87AE4"/>
    <w:rsid w:val="00E925A9"/>
    <w:rsid w:val="00E95E5D"/>
    <w:rsid w:val="00E95F67"/>
    <w:rsid w:val="00EA48BC"/>
    <w:rsid w:val="00EA558F"/>
    <w:rsid w:val="00EB06AC"/>
    <w:rsid w:val="00EB6603"/>
    <w:rsid w:val="00EC210A"/>
    <w:rsid w:val="00ED15BC"/>
    <w:rsid w:val="00ED2DC6"/>
    <w:rsid w:val="00ED4618"/>
    <w:rsid w:val="00EE2FC4"/>
    <w:rsid w:val="00EE532B"/>
    <w:rsid w:val="00EE66BD"/>
    <w:rsid w:val="00EE6D8C"/>
    <w:rsid w:val="00EF01C9"/>
    <w:rsid w:val="00EF125F"/>
    <w:rsid w:val="00EF45E9"/>
    <w:rsid w:val="00F10522"/>
    <w:rsid w:val="00F15F01"/>
    <w:rsid w:val="00F16656"/>
    <w:rsid w:val="00F2226A"/>
    <w:rsid w:val="00F24B00"/>
    <w:rsid w:val="00F30ECE"/>
    <w:rsid w:val="00F31045"/>
    <w:rsid w:val="00F35D47"/>
    <w:rsid w:val="00F41A83"/>
    <w:rsid w:val="00F427DC"/>
    <w:rsid w:val="00F501E6"/>
    <w:rsid w:val="00F557EC"/>
    <w:rsid w:val="00F668FA"/>
    <w:rsid w:val="00F70794"/>
    <w:rsid w:val="00F707CE"/>
    <w:rsid w:val="00F71E1B"/>
    <w:rsid w:val="00F724A4"/>
    <w:rsid w:val="00F726F8"/>
    <w:rsid w:val="00F76C82"/>
    <w:rsid w:val="00F81338"/>
    <w:rsid w:val="00F81B42"/>
    <w:rsid w:val="00F841C5"/>
    <w:rsid w:val="00FA1BB1"/>
    <w:rsid w:val="00FA5412"/>
    <w:rsid w:val="00FB1E70"/>
    <w:rsid w:val="00FC60B2"/>
    <w:rsid w:val="00FE18B0"/>
    <w:rsid w:val="00FE79C3"/>
    <w:rsid w:val="08EB6B1C"/>
    <w:rsid w:val="0A5C2D68"/>
    <w:rsid w:val="0ADC51AE"/>
    <w:rsid w:val="0C853C1D"/>
    <w:rsid w:val="0D662D48"/>
    <w:rsid w:val="119838F5"/>
    <w:rsid w:val="143D1F5C"/>
    <w:rsid w:val="14FC4459"/>
    <w:rsid w:val="14FE45C2"/>
    <w:rsid w:val="1B930F4A"/>
    <w:rsid w:val="1E0673A0"/>
    <w:rsid w:val="1E396B38"/>
    <w:rsid w:val="22AA3280"/>
    <w:rsid w:val="24F7302A"/>
    <w:rsid w:val="25A437D2"/>
    <w:rsid w:val="27193A58"/>
    <w:rsid w:val="28235E4A"/>
    <w:rsid w:val="29514455"/>
    <w:rsid w:val="2A1B7A9D"/>
    <w:rsid w:val="2AB23619"/>
    <w:rsid w:val="2AE9575C"/>
    <w:rsid w:val="2CA36F08"/>
    <w:rsid w:val="34C3477F"/>
    <w:rsid w:val="35843E04"/>
    <w:rsid w:val="364517E5"/>
    <w:rsid w:val="36FC1E27"/>
    <w:rsid w:val="37F45271"/>
    <w:rsid w:val="3C94676F"/>
    <w:rsid w:val="43497B5E"/>
    <w:rsid w:val="45192845"/>
    <w:rsid w:val="45334BBE"/>
    <w:rsid w:val="48B61468"/>
    <w:rsid w:val="4DA51AC3"/>
    <w:rsid w:val="4F290CB0"/>
    <w:rsid w:val="4FE82F82"/>
    <w:rsid w:val="50D61AAB"/>
    <w:rsid w:val="510136A5"/>
    <w:rsid w:val="5204433A"/>
    <w:rsid w:val="55413F6A"/>
    <w:rsid w:val="562E781D"/>
    <w:rsid w:val="59956024"/>
    <w:rsid w:val="5EC46339"/>
    <w:rsid w:val="605B14AF"/>
    <w:rsid w:val="60F872D1"/>
    <w:rsid w:val="633B34A5"/>
    <w:rsid w:val="652440E4"/>
    <w:rsid w:val="65C66C3E"/>
    <w:rsid w:val="6F213E96"/>
    <w:rsid w:val="702552C0"/>
    <w:rsid w:val="7101043C"/>
    <w:rsid w:val="7A4C4B99"/>
    <w:rsid w:val="7A574C10"/>
    <w:rsid w:val="7D622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ind w:left="-178" w:leftChars="-85" w:firstLine="7073" w:firstLineChars="842"/>
      <w:outlineLvl w:val="0"/>
    </w:pPr>
    <w:rPr>
      <w:sz w:val="84"/>
    </w:rPr>
  </w:style>
  <w:style w:type="paragraph" w:styleId="3">
    <w:name w:val="heading 2"/>
    <w:basedOn w:val="1"/>
    <w:next w:val="1"/>
    <w:autoRedefine/>
    <w:qFormat/>
    <w:uiPriority w:val="0"/>
    <w:pPr>
      <w:keepNext/>
      <w:ind w:firstLine="7560" w:firstLineChars="900"/>
      <w:outlineLvl w:val="1"/>
    </w:pPr>
    <w:rPr>
      <w:rFonts w:ascii="黑体" w:hAnsi="MS Gothic" w:eastAsia="黑体"/>
      <w:sz w:val="84"/>
    </w:rPr>
  </w:style>
  <w:style w:type="paragraph" w:styleId="4">
    <w:name w:val="heading 3"/>
    <w:basedOn w:val="1"/>
    <w:next w:val="1"/>
    <w:autoRedefine/>
    <w:qFormat/>
    <w:uiPriority w:val="0"/>
    <w:pPr>
      <w:keepNext/>
      <w:outlineLvl w:val="2"/>
    </w:pPr>
    <w:rPr>
      <w:rFonts w:ascii="黑体" w:eastAsia="黑体"/>
      <w:b/>
      <w:bCs/>
      <w:sz w:val="36"/>
      <w:u w:val="single"/>
    </w:rPr>
  </w:style>
  <w:style w:type="paragraph" w:styleId="5">
    <w:name w:val="heading 4"/>
    <w:basedOn w:val="1"/>
    <w:next w:val="1"/>
    <w:autoRedefine/>
    <w:qFormat/>
    <w:uiPriority w:val="0"/>
    <w:pPr>
      <w:keepNext/>
      <w:framePr w:w="3420" w:h="1860" w:hSpace="180" w:wrap="around" w:vAnchor="text" w:hAnchor="page" w:x="7107" w:y="321"/>
      <w:ind w:firstLine="280" w:firstLineChars="100"/>
      <w:outlineLvl w:val="3"/>
    </w:pPr>
    <w:rPr>
      <w:rFonts w:eastAsia="黑体"/>
      <w:sz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autoRedefine/>
    <w:semiHidden/>
    <w:unhideWhenUsed/>
    <w:qFormat/>
    <w:uiPriority w:val="99"/>
    <w:pPr>
      <w:jc w:val="left"/>
    </w:pPr>
  </w:style>
  <w:style w:type="paragraph" w:styleId="7">
    <w:name w:val="Body Text"/>
    <w:basedOn w:val="1"/>
    <w:link w:val="23"/>
    <w:autoRedefine/>
    <w:qFormat/>
    <w:uiPriority w:val="0"/>
    <w:pPr>
      <w:spacing w:after="120"/>
    </w:pPr>
    <w:rPr>
      <w:lang w:val="zh-CN"/>
    </w:rPr>
  </w:style>
  <w:style w:type="paragraph" w:styleId="8">
    <w:name w:val="Body Text Indent"/>
    <w:basedOn w:val="1"/>
    <w:autoRedefine/>
    <w:qFormat/>
    <w:uiPriority w:val="0"/>
    <w:pPr>
      <w:ind w:firstLine="480" w:firstLineChars="200"/>
    </w:pPr>
    <w:rPr>
      <w:rFonts w:ascii="黑体" w:eastAsia="黑体"/>
      <w:sz w:val="24"/>
    </w:rPr>
  </w:style>
  <w:style w:type="paragraph" w:styleId="9">
    <w:name w:val="Date"/>
    <w:basedOn w:val="1"/>
    <w:next w:val="1"/>
    <w:autoRedefine/>
    <w:qFormat/>
    <w:uiPriority w:val="0"/>
    <w:pPr>
      <w:ind w:left="100" w:leftChars="2500"/>
    </w:pPr>
    <w:rPr>
      <w:rFonts w:ascii="黑体" w:eastAsia="黑体"/>
      <w:sz w:val="24"/>
    </w:rPr>
  </w:style>
  <w:style w:type="paragraph" w:styleId="10">
    <w:name w:val="Body Text Indent 2"/>
    <w:basedOn w:val="1"/>
    <w:link w:val="27"/>
    <w:autoRedefine/>
    <w:qFormat/>
    <w:uiPriority w:val="0"/>
    <w:pPr>
      <w:spacing w:after="120" w:line="480" w:lineRule="auto"/>
      <w:ind w:left="420" w:leftChars="200"/>
    </w:pPr>
  </w:style>
  <w:style w:type="paragraph" w:styleId="11">
    <w:name w:val="Balloon Text"/>
    <w:basedOn w:val="1"/>
    <w:link w:val="33"/>
    <w:autoRedefine/>
    <w:semiHidden/>
    <w:unhideWhenUsed/>
    <w:qFormat/>
    <w:uiPriority w:val="0"/>
    <w:rPr>
      <w:sz w:val="18"/>
      <w:szCs w:val="18"/>
    </w:rPr>
  </w:style>
  <w:style w:type="paragraph" w:styleId="12">
    <w:name w:val="footer"/>
    <w:basedOn w:val="1"/>
    <w:link w:val="22"/>
    <w:autoRedefine/>
    <w:qFormat/>
    <w:uiPriority w:val="99"/>
    <w:pPr>
      <w:tabs>
        <w:tab w:val="center" w:pos="4153"/>
        <w:tab w:val="right" w:pos="8306"/>
      </w:tabs>
      <w:snapToGrid w:val="0"/>
      <w:jc w:val="left"/>
    </w:pPr>
    <w:rPr>
      <w:sz w:val="18"/>
      <w:szCs w:val="18"/>
      <w:lang w:val="zh-CN"/>
    </w:rPr>
  </w:style>
  <w:style w:type="paragraph" w:styleId="13">
    <w:name w:val="header"/>
    <w:basedOn w:val="1"/>
    <w:link w:val="21"/>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14">
    <w:name w:val="annotation subject"/>
    <w:basedOn w:val="6"/>
    <w:next w:val="6"/>
    <w:link w:val="35"/>
    <w:autoRedefine/>
    <w:semiHidden/>
    <w:unhideWhenUsed/>
    <w:qFormat/>
    <w:uiPriority w:val="0"/>
    <w:rPr>
      <w:b/>
      <w:bCs/>
    </w:rPr>
  </w:style>
  <w:style w:type="character" w:styleId="17">
    <w:name w:val="page number"/>
    <w:basedOn w:val="16"/>
    <w:autoRedefine/>
    <w:qFormat/>
    <w:uiPriority w:val="0"/>
  </w:style>
  <w:style w:type="character" w:styleId="18">
    <w:name w:val="line number"/>
    <w:basedOn w:val="16"/>
    <w:autoRedefine/>
    <w:qFormat/>
    <w:uiPriority w:val="0"/>
  </w:style>
  <w:style w:type="character" w:styleId="19">
    <w:name w:val="annotation reference"/>
    <w:basedOn w:val="16"/>
    <w:autoRedefine/>
    <w:semiHidden/>
    <w:unhideWhenUsed/>
    <w:qFormat/>
    <w:uiPriority w:val="99"/>
    <w:rPr>
      <w:sz w:val="21"/>
      <w:szCs w:val="21"/>
    </w:rPr>
  </w:style>
  <w:style w:type="paragraph" w:customStyle="1" w:styleId="20">
    <w:name w:val="MT正文"/>
    <w:basedOn w:val="1"/>
    <w:link w:val="36"/>
    <w:autoRedefine/>
    <w:qFormat/>
    <w:uiPriority w:val="0"/>
    <w:pPr>
      <w:snapToGrid w:val="0"/>
      <w:spacing w:line="360" w:lineRule="auto"/>
      <w:ind w:firstLine="1680" w:firstLineChars="200"/>
    </w:pPr>
    <w:rPr>
      <w:kern w:val="0"/>
      <w:sz w:val="24"/>
      <w:szCs w:val="20"/>
    </w:rPr>
  </w:style>
  <w:style w:type="character" w:customStyle="1" w:styleId="21">
    <w:name w:val="页眉 字符"/>
    <w:link w:val="13"/>
    <w:autoRedefine/>
    <w:qFormat/>
    <w:uiPriority w:val="0"/>
    <w:rPr>
      <w:kern w:val="2"/>
      <w:sz w:val="18"/>
      <w:szCs w:val="18"/>
    </w:rPr>
  </w:style>
  <w:style w:type="character" w:customStyle="1" w:styleId="22">
    <w:name w:val="页脚 字符"/>
    <w:link w:val="12"/>
    <w:autoRedefine/>
    <w:qFormat/>
    <w:uiPriority w:val="99"/>
    <w:rPr>
      <w:kern w:val="2"/>
      <w:sz w:val="18"/>
      <w:szCs w:val="18"/>
    </w:rPr>
  </w:style>
  <w:style w:type="character" w:customStyle="1" w:styleId="23">
    <w:name w:val="正文文本 字符"/>
    <w:link w:val="7"/>
    <w:autoRedefine/>
    <w:qFormat/>
    <w:uiPriority w:val="0"/>
    <w:rPr>
      <w:kern w:val="2"/>
      <w:sz w:val="21"/>
      <w:szCs w:val="24"/>
    </w:rPr>
  </w:style>
  <w:style w:type="paragraph" w:customStyle="1" w:styleId="24">
    <w:name w:val="Char 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25">
    <w:name w:val="List Paragraph"/>
    <w:basedOn w:val="1"/>
    <w:autoRedefine/>
    <w:qFormat/>
    <w:uiPriority w:val="34"/>
    <w:pPr>
      <w:ind w:firstLine="420" w:firstLineChars="200"/>
    </w:pPr>
  </w:style>
  <w:style w:type="paragraph" w:customStyle="1" w:styleId="26">
    <w:name w:val="Char Char1 Char Char Char Char Char Char Char"/>
    <w:basedOn w:val="1"/>
    <w:autoRedefine/>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7">
    <w:name w:val="正文文本缩进 2 字符"/>
    <w:basedOn w:val="16"/>
    <w:link w:val="10"/>
    <w:autoRedefine/>
    <w:qFormat/>
    <w:uiPriority w:val="0"/>
    <w:rPr>
      <w:kern w:val="2"/>
      <w:sz w:val="21"/>
      <w:szCs w:val="24"/>
    </w:rPr>
  </w:style>
  <w:style w:type="paragraph" w:customStyle="1" w:styleId="28">
    <w:name w:val="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9">
    <w:name w:val="段"/>
    <w:link w:val="3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段 Char"/>
    <w:link w:val="29"/>
    <w:autoRedefine/>
    <w:qFormat/>
    <w:uiPriority w:val="0"/>
    <w:rPr>
      <w:rFonts w:ascii="宋体"/>
      <w:sz w:val="21"/>
    </w:rPr>
  </w:style>
  <w:style w:type="paragraph" w:customStyle="1" w:styleId="31">
    <w:name w:val="列出段落2"/>
    <w:basedOn w:val="1"/>
    <w:autoRedefine/>
    <w:qFormat/>
    <w:uiPriority w:val="99"/>
    <w:pPr>
      <w:spacing w:line="276" w:lineRule="auto"/>
      <w:ind w:firstLine="420" w:firstLineChars="200"/>
    </w:pPr>
    <w:rPr>
      <w:kern w:val="0"/>
    </w:rPr>
  </w:style>
  <w:style w:type="paragraph" w:customStyle="1" w:styleId="32">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33">
    <w:name w:val="批注框文本 字符"/>
    <w:basedOn w:val="16"/>
    <w:link w:val="11"/>
    <w:autoRedefine/>
    <w:semiHidden/>
    <w:qFormat/>
    <w:uiPriority w:val="0"/>
    <w:rPr>
      <w:rFonts w:ascii="Times New Roman" w:hAnsi="Times New Roman"/>
      <w:kern w:val="2"/>
      <w:sz w:val="18"/>
      <w:szCs w:val="18"/>
    </w:rPr>
  </w:style>
  <w:style w:type="character" w:customStyle="1" w:styleId="34">
    <w:name w:val="批注文字 字符"/>
    <w:basedOn w:val="16"/>
    <w:link w:val="6"/>
    <w:autoRedefine/>
    <w:semiHidden/>
    <w:qFormat/>
    <w:uiPriority w:val="99"/>
    <w:rPr>
      <w:rFonts w:ascii="Times New Roman" w:hAnsi="Times New Roman"/>
      <w:kern w:val="2"/>
      <w:sz w:val="21"/>
      <w:szCs w:val="24"/>
    </w:rPr>
  </w:style>
  <w:style w:type="character" w:customStyle="1" w:styleId="35">
    <w:name w:val="批注主题 字符"/>
    <w:basedOn w:val="34"/>
    <w:link w:val="14"/>
    <w:autoRedefine/>
    <w:semiHidden/>
    <w:qFormat/>
    <w:uiPriority w:val="0"/>
    <w:rPr>
      <w:rFonts w:ascii="Times New Roman" w:hAnsi="Times New Roman"/>
      <w:b/>
      <w:bCs/>
      <w:kern w:val="2"/>
      <w:sz w:val="21"/>
      <w:szCs w:val="24"/>
    </w:rPr>
  </w:style>
  <w:style w:type="character" w:customStyle="1" w:styleId="36">
    <w:name w:val="MT正文[858D7CFB-ED40-4347-BF05-701D383B685F]4"/>
    <w:link w:val="20"/>
    <w:autoRedefine/>
    <w:qFormat/>
    <w:uiPriority w:val="0"/>
    <w:rPr>
      <w:rFonts w:ascii="Times New Roman" w:hAnsi="Times New Roman" w:eastAsia="宋体"/>
      <w:sz w:val="24"/>
    </w:rPr>
  </w:style>
  <w:style w:type="paragraph" w:customStyle="1" w:styleId="37">
    <w:name w:val="mainbody"/>
    <w:autoRedefine/>
    <w:qFormat/>
    <w:uiPriority w:val="0"/>
    <w:pPr>
      <w:widowControl w:val="0"/>
      <w:adjustRightInd w:val="0"/>
      <w:snapToGrid w:val="0"/>
      <w:spacing w:line="360" w:lineRule="auto"/>
      <w:ind w:firstLine="480" w:firstLineChars="200"/>
      <w:jc w:val="both"/>
    </w:pPr>
    <w:rPr>
      <w:rFonts w:ascii="Times New Roman" w:hAnsi="Times New Roman" w:eastAsia="宋体" w:cs="宋体"/>
      <w:sz w:val="24"/>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294EE-9D4D-47D4-8727-A7CDC87C9F5B}">
  <ds:schemaRefs/>
</ds:datastoreItem>
</file>

<file path=docProps/app.xml><?xml version="1.0" encoding="utf-8"?>
<Properties xmlns="http://schemas.openxmlformats.org/officeDocument/2006/extended-properties" xmlns:vt="http://schemas.openxmlformats.org/officeDocument/2006/docPropsVTypes">
  <Template>Normal.dotm</Template>
  <Company>SIMT</Company>
  <Pages>6</Pages>
  <Words>2998</Words>
  <Characters>3258</Characters>
  <Lines>31</Lines>
  <Paragraphs>8</Paragraphs>
  <TotalTime>12</TotalTime>
  <ScaleCrop>false</ScaleCrop>
  <LinksUpToDate>false</LinksUpToDate>
  <CharactersWithSpaces>3281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2023-10-25T13:57:00Z</dcterms:created>
  <dc:creator>YT</dc:creator>
  <cp:lastModifiedBy>SKY </cp:lastModifiedBy>
  <cp:lastPrinted>2021-06-07T00:26:00Z</cp:lastPrinted>
  <dcterms:modified xsi:type="dcterms:W3CDTF">2026-07-07T07:15:21Z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A1E9C9C372874F37A84E3897DDA00920_13</vt:lpwstr>
  </property>
  <property fmtid="{D5CDD505-2E9C-101B-9397-08002B2CF9AE}" pid="4" name="KSOTemplateDocerSaveRecord">
    <vt:lpwstr>eyJoZGlkIjoiOWI2ZDQ2MjU1OWI5ZjU3N2M1ZDgwYjBiY2RlZGRjNjciLCJ1c2VySWQiOiIyNDc5NDYzMyJ9</vt:lpwstr>
  </property>
</Properties>
</file>